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73D37A7"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D9266D">
        <w:rPr>
          <w:color w:val="FF0000"/>
          <w:sz w:val="24"/>
          <w:szCs w:val="24"/>
        </w:rPr>
        <w:t>Organization name here</w:t>
      </w:r>
      <w:r w:rsidR="00D92F63">
        <w:rPr>
          <w:sz w:val="24"/>
          <w:szCs w:val="24"/>
        </w:rPr>
        <w:t xml:space="preserve">] to ensure </w:t>
      </w:r>
      <w:r w:rsidR="00923455">
        <w:rPr>
          <w:sz w:val="24"/>
          <w:szCs w:val="24"/>
        </w:rPr>
        <w:t>originating</w:t>
      </w:r>
      <w:r w:rsidR="00D92F63">
        <w:rPr>
          <w:sz w:val="24"/>
          <w:szCs w:val="24"/>
        </w:rPr>
        <w:t xml:space="preserve"> site requirements for t</w:t>
      </w:r>
      <w:r w:rsidR="00D92F63" w:rsidRPr="003757F1">
        <w:rPr>
          <w:sz w:val="24"/>
          <w:szCs w:val="24"/>
        </w:rPr>
        <w:t xml:space="preserve">elehealth </w:t>
      </w:r>
      <w:r w:rsidR="00D92F63">
        <w:rPr>
          <w:sz w:val="24"/>
          <w:szCs w:val="24"/>
        </w:rPr>
        <w:t xml:space="preserve">services </w:t>
      </w:r>
      <w:r w:rsidR="00584411">
        <w:rPr>
          <w:sz w:val="24"/>
          <w:szCs w:val="24"/>
        </w:rPr>
        <w:t>supports</w:t>
      </w:r>
      <w:r w:rsidR="00D92F63">
        <w:rPr>
          <w:sz w:val="24"/>
          <w:szCs w:val="24"/>
        </w:rPr>
        <w:t xml:space="preserve"> safe and quality </w:t>
      </w:r>
      <w:r w:rsidR="00D92F63" w:rsidRPr="003757F1">
        <w:rPr>
          <w:sz w:val="24"/>
          <w:szCs w:val="24"/>
        </w:rPr>
        <w:t>health care</w:t>
      </w:r>
      <w:r w:rsidR="00584411">
        <w:rPr>
          <w:sz w:val="24"/>
          <w:szCs w:val="24"/>
        </w:rPr>
        <w:t xml:space="preserve"> services</w:t>
      </w:r>
      <w:r w:rsidR="00D92F63" w:rsidRPr="003757F1">
        <w:rPr>
          <w:sz w:val="24"/>
          <w:szCs w:val="24"/>
        </w:rPr>
        <w:t xml:space="preserve"> to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53C54C15"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3A1C04">
        <w:rPr>
          <w:sz w:val="24"/>
          <w:szCs w:val="24"/>
        </w:rPr>
        <w:t>O</w:t>
      </w:r>
      <w:r w:rsidR="00923455">
        <w:rPr>
          <w:sz w:val="24"/>
          <w:szCs w:val="24"/>
        </w:rPr>
        <w:t>r</w:t>
      </w:r>
      <w:r w:rsidR="00D0487B">
        <w:rPr>
          <w:sz w:val="24"/>
          <w:szCs w:val="24"/>
        </w:rPr>
        <w:t>i</w:t>
      </w:r>
      <w:r w:rsidR="00923455">
        <w:rPr>
          <w:sz w:val="24"/>
          <w:szCs w:val="24"/>
        </w:rPr>
        <w:t>ginating</w:t>
      </w:r>
      <w:r w:rsidR="00D92F63">
        <w:rPr>
          <w:sz w:val="24"/>
          <w:szCs w:val="24"/>
        </w:rPr>
        <w:t xml:space="preserve"> </w:t>
      </w:r>
      <w:r w:rsidR="003A1C04">
        <w:rPr>
          <w:sz w:val="24"/>
          <w:szCs w:val="24"/>
        </w:rPr>
        <w:t>S</w:t>
      </w:r>
      <w:r w:rsidR="00D92F63">
        <w:rPr>
          <w:sz w:val="24"/>
          <w:szCs w:val="24"/>
        </w:rPr>
        <w:t>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5737BC">
      <w:pPr>
        <w:jc w:val="both"/>
        <w:rPr>
          <w:b/>
          <w:bCs/>
          <w:sz w:val="24"/>
          <w:szCs w:val="24"/>
        </w:rPr>
      </w:pPr>
    </w:p>
    <w:p w14:paraId="3B4C65E3" w14:textId="7396BCD2" w:rsidR="001B7186" w:rsidRDefault="00606B42" w:rsidP="00061792">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w:t>
      </w:r>
      <w:r w:rsidR="00645C7D">
        <w:rPr>
          <w:sz w:val="24"/>
          <w:szCs w:val="24"/>
        </w:rPr>
        <w:t xml:space="preserve"> rural health clinics and federally qualified health centers (RHC/FQHC)</w:t>
      </w:r>
      <w:r w:rsidR="00D92F63" w:rsidRPr="003757F1">
        <w:rPr>
          <w:sz w:val="24"/>
          <w:szCs w:val="24"/>
        </w:rPr>
        <w:t>, in accordance with the rules and regulations of the Centers for Medicare &amp; Medicaid Services (CMS)</w:t>
      </w:r>
      <w:r w:rsidR="00584411">
        <w:rPr>
          <w:sz w:val="24"/>
          <w:szCs w:val="24"/>
        </w:rPr>
        <w:t xml:space="preserve">. </w:t>
      </w:r>
      <w:r w:rsidR="00D92F63">
        <w:rPr>
          <w:sz w:val="24"/>
          <w:szCs w:val="24"/>
        </w:rPr>
        <w:t>Each organization should check their state regulations for further requirements and opportunities.</w:t>
      </w:r>
    </w:p>
    <w:p w14:paraId="78D6C949" w14:textId="239E473D" w:rsidR="004E7CE8" w:rsidRPr="003757F1" w:rsidRDefault="004E7CE8" w:rsidP="004E7CE8">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0A1FBCB7" wp14:editId="2504C9AD">
                <wp:simplePos x="0" y="0"/>
                <wp:positionH relativeFrom="column">
                  <wp:posOffset>-85725</wp:posOffset>
                </wp:positionH>
                <wp:positionV relativeFrom="paragraph">
                  <wp:posOffset>148590</wp:posOffset>
                </wp:positionV>
                <wp:extent cx="6105525" cy="4391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105525" cy="43910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1E3F" id="Rectangle 1" o:spid="_x0000_s1026" style="position:absolute;margin-left:-6.75pt;margin-top:11.7pt;width:480.7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" filled="f" strokecolor="#7f7f7f"/>
            </w:pict>
          </mc:Fallback>
        </mc:AlternateContent>
      </w:r>
    </w:p>
    <w:p w14:paraId="6B621EE0" w14:textId="33B9F317" w:rsidR="00E816BA" w:rsidRDefault="00213231" w:rsidP="008310BE">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1C9A8B98" w14:textId="77777777" w:rsidR="002A4268" w:rsidRDefault="008310BE" w:rsidP="002A4268">
      <w:pPr>
        <w:shd w:val="clear" w:color="auto" w:fill="E7E6E6" w:themeFill="background2"/>
        <w:spacing w:after="0" w:line="240" w:lineRule="auto"/>
        <w:jc w:val="both"/>
        <w:rPr>
          <w:rFonts w:ascii="Arial" w:hAnsi="Arial" w:cs="Arial"/>
          <w:sz w:val="30"/>
          <w:szCs w:val="30"/>
        </w:rPr>
      </w:pPr>
      <w:r w:rsidRPr="008310BE">
        <w:rPr>
          <w:i/>
          <w:iCs/>
          <w:sz w:val="24"/>
          <w:szCs w:val="24"/>
        </w:rPr>
        <w:t xml:space="preserve"> </w:t>
      </w:r>
      <w:r w:rsidR="002A4268">
        <w:rPr>
          <w:rFonts w:cstheme="minorHAnsi"/>
          <w:i/>
          <w:iCs/>
          <w:sz w:val="24"/>
          <w:szCs w:val="24"/>
        </w:rPr>
        <w:t>“</w:t>
      </w:r>
      <w:r w:rsidR="002A4268" w:rsidRPr="00536DF5">
        <w:rPr>
          <w:rFonts w:cstheme="minorHAnsi"/>
          <w:i/>
          <w:iCs/>
          <w:sz w:val="24"/>
          <w:szCs w:val="24"/>
        </w:rPr>
        <w:t>The RHC or FQHC practitioner can respond from any location during a time that they are scheduled to work for the RHC or FQHC</w:t>
      </w:r>
      <w:r w:rsidR="002A4268">
        <w:rPr>
          <w:rFonts w:ascii="Arial" w:hAnsi="Arial" w:cs="Arial"/>
          <w:sz w:val="30"/>
          <w:szCs w:val="30"/>
        </w:rPr>
        <w:t>.”</w:t>
      </w:r>
    </w:p>
    <w:p w14:paraId="6FE9FA71" w14:textId="77777777" w:rsidR="002A4268" w:rsidRDefault="002A4268" w:rsidP="002A4268">
      <w:pPr>
        <w:shd w:val="clear" w:color="auto" w:fill="E7E6E6" w:themeFill="background2"/>
        <w:spacing w:after="0" w:line="240" w:lineRule="auto"/>
        <w:jc w:val="both"/>
        <w:rPr>
          <w:rFonts w:ascii="Arial" w:hAnsi="Arial" w:cs="Arial"/>
          <w:sz w:val="30"/>
          <w:szCs w:val="30"/>
        </w:rPr>
      </w:pPr>
    </w:p>
    <w:p w14:paraId="7E39B20A" w14:textId="77777777" w:rsidR="002A4268" w:rsidRDefault="002A4268" w:rsidP="002A4268">
      <w:pPr>
        <w:shd w:val="clear" w:color="auto" w:fill="E7E6E6" w:themeFill="background2"/>
        <w:spacing w:after="0" w:line="240" w:lineRule="auto"/>
        <w:jc w:val="both"/>
        <w:rPr>
          <w:rFonts w:cstheme="minorHAnsi"/>
          <w:i/>
          <w:iCs/>
          <w:sz w:val="24"/>
          <w:szCs w:val="24"/>
        </w:rPr>
      </w:pPr>
      <w:r>
        <w:rPr>
          <w:rFonts w:cstheme="minorHAnsi"/>
          <w:i/>
          <w:iCs/>
          <w:sz w:val="24"/>
          <w:szCs w:val="24"/>
        </w:rPr>
        <w:t xml:space="preserve">For further reading: </w:t>
      </w:r>
      <w:hyperlink r:id="rId7" w:history="1">
        <w:r w:rsidRPr="00D02404">
          <w:rPr>
            <w:rStyle w:val="Hyperlink"/>
            <w:rFonts w:cstheme="minorHAnsi"/>
            <w:i/>
            <w:iCs/>
            <w:sz w:val="24"/>
            <w:szCs w:val="24"/>
          </w:rPr>
          <w:t>https://www.cms.gov/files/document/medicare-telehealth-frequently-asked-questions-faqs-31720.pdf</w:t>
        </w:r>
      </w:hyperlink>
      <w:r>
        <w:rPr>
          <w:rFonts w:cstheme="minorHAnsi"/>
          <w:i/>
          <w:iCs/>
          <w:sz w:val="24"/>
          <w:szCs w:val="24"/>
        </w:rPr>
        <w:t xml:space="preserve"> </w:t>
      </w:r>
    </w:p>
    <w:p w14:paraId="0670268B" w14:textId="77777777" w:rsidR="002A4268" w:rsidRPr="00536DF5" w:rsidRDefault="002A4268" w:rsidP="002A4268">
      <w:pPr>
        <w:shd w:val="clear" w:color="auto" w:fill="E7E6E6" w:themeFill="background2"/>
        <w:spacing w:after="0" w:line="240" w:lineRule="auto"/>
        <w:jc w:val="both"/>
        <w:rPr>
          <w:rFonts w:cstheme="minorHAnsi"/>
          <w:i/>
          <w:iCs/>
          <w:sz w:val="24"/>
          <w:szCs w:val="24"/>
        </w:rPr>
      </w:pPr>
    </w:p>
    <w:p w14:paraId="17834E2F" w14:textId="77777777" w:rsidR="002A4268" w:rsidRPr="0076147D" w:rsidRDefault="002A4268" w:rsidP="002A4268">
      <w:pPr>
        <w:shd w:val="clear" w:color="auto" w:fill="E7E6E6" w:themeFill="background2"/>
        <w:spacing w:after="0" w:line="240" w:lineRule="auto"/>
        <w:jc w:val="both"/>
        <w:rPr>
          <w:rFonts w:eastAsia="Times New Roman" w:cstheme="minorHAnsi"/>
          <w:i/>
          <w:iCs/>
          <w:sz w:val="24"/>
          <w:szCs w:val="24"/>
        </w:rPr>
      </w:pPr>
      <w:r w:rsidRPr="0076147D">
        <w:rPr>
          <w:rFonts w:cstheme="minorHAnsi"/>
          <w:i/>
          <w:iCs/>
          <w:sz w:val="24"/>
          <w:szCs w:val="24"/>
        </w:rPr>
        <w:t>“Medicare can pay fo</w:t>
      </w:r>
      <w:r>
        <w:rPr>
          <w:rFonts w:cstheme="minorHAnsi"/>
          <w:i/>
          <w:iCs/>
          <w:sz w:val="24"/>
          <w:szCs w:val="24"/>
        </w:rPr>
        <w:t xml:space="preserve">r </w:t>
      </w:r>
      <w:r w:rsidRPr="0076147D">
        <w:rPr>
          <w:rFonts w:cstheme="minorHAnsi"/>
          <w:i/>
          <w:iCs/>
          <w:sz w:val="24"/>
          <w:szCs w:val="24"/>
        </w:rPr>
        <w:t>many types of 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p>
    <w:p w14:paraId="235B1095" w14:textId="77777777" w:rsidR="002A4268" w:rsidRDefault="002A4268" w:rsidP="002A4268">
      <w:pPr>
        <w:shd w:val="clear" w:color="auto" w:fill="E7E6E6" w:themeFill="background2"/>
        <w:spacing w:after="0" w:line="240" w:lineRule="auto"/>
        <w:jc w:val="both"/>
        <w:rPr>
          <w:rFonts w:eastAsia="Times New Roman" w:cstheme="minorHAnsi"/>
          <w:i/>
          <w:iCs/>
          <w:sz w:val="24"/>
          <w:szCs w:val="24"/>
        </w:rPr>
      </w:pPr>
    </w:p>
    <w:p w14:paraId="7797DDBF" w14:textId="77777777" w:rsidR="002A4268" w:rsidRDefault="002A4268" w:rsidP="002A4268">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 xml:space="preserve">For further reading: </w:t>
      </w:r>
      <w:hyperlink r:id="rId8" w:history="1">
        <w:r w:rsidRPr="00D02404">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1822DC61" w14:textId="77777777" w:rsidR="002A4268" w:rsidRDefault="002A4268" w:rsidP="002A4268">
      <w:pPr>
        <w:shd w:val="clear" w:color="auto" w:fill="E7E6E6" w:themeFill="background2"/>
        <w:spacing w:after="0" w:line="240" w:lineRule="auto"/>
        <w:jc w:val="both"/>
        <w:rPr>
          <w:rFonts w:eastAsia="Times New Roman" w:cstheme="minorHAnsi"/>
          <w:i/>
          <w:iCs/>
          <w:sz w:val="24"/>
          <w:szCs w:val="24"/>
        </w:rPr>
      </w:pPr>
    </w:p>
    <w:p w14:paraId="0C6D2F9C" w14:textId="77777777" w:rsidR="002A4268" w:rsidRPr="00AA7BAE" w:rsidRDefault="002A4268" w:rsidP="002A4268">
      <w:pPr>
        <w:shd w:val="clear" w:color="auto" w:fill="E7E6E6" w:themeFill="background2"/>
        <w:jc w:val="both"/>
        <w:rPr>
          <w:i/>
          <w:iCs/>
          <w:sz w:val="24"/>
          <w:szCs w:val="24"/>
        </w:rPr>
      </w:pPr>
      <w:r>
        <w:rPr>
          <w:rStyle w:val="Emphasis"/>
          <w:sz w:val="24"/>
          <w:szCs w:val="24"/>
        </w:rPr>
        <w:t>“</w:t>
      </w:r>
      <w:r w:rsidRPr="00AA7BAE">
        <w:rPr>
          <w:rStyle w:val="Emphasis"/>
          <w:sz w:val="24"/>
          <w:szCs w:val="24"/>
        </w:rPr>
        <w:t>While they must generally travel to or be located in certain types of originating sites such as a physician’s office, skilled nursing facility or hospital for the visit, effective for services starting March 6, 2020 and for the duration of the COVID-19 Public Health Emergency, Medicare will make payment for Medicare telehealth services furnished to beneficiaries in any healthcare facility and in their home.</w:t>
      </w:r>
      <w:r>
        <w:rPr>
          <w:rStyle w:val="Emphasis"/>
          <w:sz w:val="24"/>
          <w:szCs w:val="24"/>
        </w:rPr>
        <w:t>”</w:t>
      </w:r>
    </w:p>
    <w:p w14:paraId="11BC1666" w14:textId="53C83A41" w:rsidR="008310BE" w:rsidRPr="008310BE" w:rsidRDefault="002A4268" w:rsidP="002A4268">
      <w:pPr>
        <w:shd w:val="clear" w:color="auto" w:fill="E7E6E6" w:themeFill="background2"/>
        <w:rPr>
          <w:i/>
          <w:iCs/>
          <w:sz w:val="24"/>
          <w:szCs w:val="24"/>
        </w:rPr>
      </w:pPr>
      <w:r>
        <w:rPr>
          <w:rStyle w:val="Emphasis"/>
          <w:rFonts w:eastAsia="Times New Roman" w:cstheme="minorHAnsi"/>
          <w:sz w:val="24"/>
          <w:szCs w:val="24"/>
        </w:rPr>
        <w:t xml:space="preserve">For further reading:  </w:t>
      </w:r>
      <w:hyperlink r:id="rId9" w:history="1">
        <w:r w:rsidRPr="008310BE">
          <w:rPr>
            <w:rStyle w:val="Hyperlink"/>
            <w:i/>
            <w:iCs/>
            <w:sz w:val="24"/>
            <w:szCs w:val="24"/>
          </w:rPr>
          <w:t>https://www.cms.gov/newsroom/fact-sheets/medicare-telemedicine-health-care-provider-fact-sheet</w:t>
        </w:r>
      </w:hyperlink>
    </w:p>
    <w:p w14:paraId="788A2823" w14:textId="15138E10" w:rsidR="00740DBB" w:rsidRPr="00D9266D" w:rsidRDefault="00D9266D" w:rsidP="00D9266D">
      <w:pPr>
        <w:pStyle w:val="Footer"/>
        <w:rPr>
          <w:rStyle w:val="Emphasis"/>
          <w:i w:val="0"/>
          <w:iCs w:val="0"/>
        </w:rPr>
      </w:pPr>
      <w:r>
        <w:t xml:space="preserve">*Temporary guidance related to Public Health Emergency (PHE) </w:t>
      </w:r>
    </w:p>
    <w:p w14:paraId="00F91993" w14:textId="45B4F477" w:rsidR="00606B42" w:rsidRDefault="00606B42" w:rsidP="005737BC">
      <w:pPr>
        <w:jc w:val="both"/>
        <w:rPr>
          <w:b/>
          <w:bCs/>
          <w:sz w:val="24"/>
          <w:szCs w:val="24"/>
        </w:rPr>
      </w:pPr>
      <w:r w:rsidRPr="00606B42">
        <w:rPr>
          <w:b/>
          <w:bCs/>
          <w:sz w:val="24"/>
          <w:szCs w:val="24"/>
        </w:rPr>
        <w:lastRenderedPageBreak/>
        <w:t>Procedures:</w:t>
      </w:r>
    </w:p>
    <w:p w14:paraId="1262CD41" w14:textId="2DACEB7C" w:rsidR="003D67EF" w:rsidRDefault="003D67EF" w:rsidP="00D9266D">
      <w:pPr>
        <w:pStyle w:val="ListParagraph"/>
        <w:numPr>
          <w:ilvl w:val="0"/>
          <w:numId w:val="2"/>
        </w:numPr>
        <w:ind w:left="720" w:right="-180" w:hanging="360"/>
        <w:jc w:val="both"/>
        <w:rPr>
          <w:b/>
          <w:bCs/>
          <w:sz w:val="24"/>
          <w:szCs w:val="24"/>
        </w:rPr>
      </w:pPr>
      <w:r>
        <w:rPr>
          <w:b/>
          <w:bCs/>
          <w:sz w:val="24"/>
          <w:szCs w:val="24"/>
        </w:rPr>
        <w:t>Population and Services</w:t>
      </w:r>
      <w:r w:rsidR="00070389">
        <w:rPr>
          <w:b/>
          <w:bCs/>
          <w:sz w:val="24"/>
          <w:szCs w:val="24"/>
        </w:rPr>
        <w:t xml:space="preserve"> for a Virtual-Type Visit.</w:t>
      </w:r>
    </w:p>
    <w:p w14:paraId="5567E304" w14:textId="67191916" w:rsidR="000D1E1B" w:rsidRDefault="00DC2881" w:rsidP="00D9266D">
      <w:pPr>
        <w:pStyle w:val="ListParagraph"/>
        <w:numPr>
          <w:ilvl w:val="0"/>
          <w:numId w:val="3"/>
        </w:numPr>
        <w:ind w:left="1440" w:right="-180"/>
        <w:jc w:val="both"/>
        <w:rPr>
          <w:sz w:val="24"/>
          <w:szCs w:val="24"/>
        </w:rPr>
      </w:pPr>
      <w:r>
        <w:rPr>
          <w:sz w:val="24"/>
          <w:szCs w:val="24"/>
        </w:rPr>
        <w:t>If utilizing an o</w:t>
      </w:r>
      <w:r w:rsidR="000D1E1B">
        <w:rPr>
          <w:sz w:val="24"/>
          <w:szCs w:val="24"/>
        </w:rPr>
        <w:t xml:space="preserve">riginating </w:t>
      </w:r>
      <w:r>
        <w:rPr>
          <w:sz w:val="24"/>
          <w:szCs w:val="24"/>
        </w:rPr>
        <w:t>s</w:t>
      </w:r>
      <w:r w:rsidR="000D1E1B">
        <w:rPr>
          <w:sz w:val="24"/>
          <w:szCs w:val="24"/>
        </w:rPr>
        <w:t>ite</w:t>
      </w:r>
      <w:r>
        <w:rPr>
          <w:sz w:val="24"/>
          <w:szCs w:val="24"/>
        </w:rPr>
        <w:t>, the originating site</w:t>
      </w:r>
      <w:r w:rsidR="000D1E1B">
        <w:rPr>
          <w:sz w:val="24"/>
          <w:szCs w:val="24"/>
        </w:rPr>
        <w:t xml:space="preserve"> </w:t>
      </w:r>
      <w:r>
        <w:rPr>
          <w:sz w:val="24"/>
          <w:szCs w:val="24"/>
        </w:rPr>
        <w:t>should</w:t>
      </w:r>
      <w:r w:rsidR="000D1E1B">
        <w:rPr>
          <w:sz w:val="24"/>
          <w:szCs w:val="24"/>
        </w:rPr>
        <w:t xml:space="preserve"> meet the following:</w:t>
      </w:r>
    </w:p>
    <w:p w14:paraId="4F8D3AE7" w14:textId="43AB4897" w:rsidR="00584411" w:rsidRPr="00451C21" w:rsidRDefault="00070389" w:rsidP="00D9266D">
      <w:pPr>
        <w:pStyle w:val="ListParagraph"/>
        <w:numPr>
          <w:ilvl w:val="0"/>
          <w:numId w:val="21"/>
        </w:numPr>
        <w:ind w:left="2160" w:right="-180"/>
        <w:jc w:val="both"/>
        <w:rPr>
          <w:sz w:val="24"/>
          <w:szCs w:val="24"/>
        </w:rPr>
      </w:pPr>
      <w:r>
        <w:rPr>
          <w:sz w:val="24"/>
          <w:szCs w:val="24"/>
        </w:rPr>
        <w:t>The originating site</w:t>
      </w:r>
      <w:r w:rsidR="00905D2B">
        <w:rPr>
          <w:sz w:val="24"/>
          <w:szCs w:val="24"/>
        </w:rPr>
        <w:t xml:space="preserve"> must</w:t>
      </w:r>
      <w:r w:rsidR="000D1E1B">
        <w:rPr>
          <w:sz w:val="24"/>
          <w:szCs w:val="24"/>
        </w:rPr>
        <w:t xml:space="preserve"> be located within a Health Professional Shortage Area (HPSA)</w:t>
      </w:r>
      <w:r>
        <w:rPr>
          <w:sz w:val="24"/>
          <w:szCs w:val="24"/>
        </w:rPr>
        <w:t>.</w:t>
      </w:r>
      <w:r w:rsidR="000D1E1B">
        <w:rPr>
          <w:sz w:val="24"/>
          <w:szCs w:val="24"/>
        </w:rPr>
        <w:t xml:space="preserve"> </w:t>
      </w:r>
    </w:p>
    <w:p w14:paraId="6BFD2F72" w14:textId="0753A920" w:rsidR="000D1E1B" w:rsidRDefault="00070389" w:rsidP="00D9266D">
      <w:pPr>
        <w:pStyle w:val="ListParagraph"/>
        <w:numPr>
          <w:ilvl w:val="0"/>
          <w:numId w:val="21"/>
        </w:numPr>
        <w:ind w:left="2160" w:right="-180"/>
        <w:jc w:val="both"/>
        <w:rPr>
          <w:sz w:val="24"/>
          <w:szCs w:val="24"/>
        </w:rPr>
      </w:pPr>
      <w:r>
        <w:rPr>
          <w:sz w:val="24"/>
          <w:szCs w:val="24"/>
        </w:rPr>
        <w:t>The originating site</w:t>
      </w:r>
      <w:r w:rsidR="00DC2881">
        <w:rPr>
          <w:sz w:val="24"/>
          <w:szCs w:val="24"/>
        </w:rPr>
        <w:t xml:space="preserve"> must</w:t>
      </w:r>
      <w:r w:rsidR="000D1E1B">
        <w:rPr>
          <w:sz w:val="24"/>
          <w:szCs w:val="24"/>
        </w:rPr>
        <w:t xml:space="preserve"> be one of the following types of health facilities:</w:t>
      </w:r>
    </w:p>
    <w:p w14:paraId="0C150C25" w14:textId="5F143D99" w:rsidR="000D1E1B" w:rsidRDefault="000D1E1B" w:rsidP="00D9266D">
      <w:pPr>
        <w:pStyle w:val="ListParagraph"/>
        <w:numPr>
          <w:ilvl w:val="0"/>
          <w:numId w:val="22"/>
        </w:numPr>
        <w:ind w:left="2880" w:right="-180"/>
        <w:jc w:val="both"/>
        <w:rPr>
          <w:sz w:val="24"/>
          <w:szCs w:val="24"/>
        </w:rPr>
      </w:pPr>
      <w:r>
        <w:rPr>
          <w:sz w:val="24"/>
          <w:szCs w:val="24"/>
        </w:rPr>
        <w:t>Physicians or practitioner offices</w:t>
      </w:r>
    </w:p>
    <w:p w14:paraId="6C09781C" w14:textId="14B6BD3F" w:rsidR="00866773" w:rsidRPr="00584411" w:rsidRDefault="000D1E1B" w:rsidP="00D9266D">
      <w:pPr>
        <w:pStyle w:val="ListParagraph"/>
        <w:numPr>
          <w:ilvl w:val="0"/>
          <w:numId w:val="22"/>
        </w:numPr>
        <w:ind w:left="2880" w:right="-180"/>
        <w:jc w:val="both"/>
        <w:rPr>
          <w:sz w:val="24"/>
          <w:szCs w:val="24"/>
        </w:rPr>
      </w:pPr>
      <w:r>
        <w:rPr>
          <w:sz w:val="24"/>
          <w:szCs w:val="24"/>
        </w:rPr>
        <w:t>Hospitals</w:t>
      </w:r>
    </w:p>
    <w:p w14:paraId="025B9B73" w14:textId="5E9245CF" w:rsidR="00DC2881" w:rsidRPr="00DC2881" w:rsidRDefault="000D1E1B" w:rsidP="00D9266D">
      <w:pPr>
        <w:pStyle w:val="ListParagraph"/>
        <w:numPr>
          <w:ilvl w:val="0"/>
          <w:numId w:val="22"/>
        </w:numPr>
        <w:ind w:left="2880" w:right="-180"/>
        <w:jc w:val="both"/>
        <w:rPr>
          <w:sz w:val="24"/>
          <w:szCs w:val="24"/>
        </w:rPr>
      </w:pPr>
      <w:r>
        <w:rPr>
          <w:sz w:val="24"/>
          <w:szCs w:val="24"/>
        </w:rPr>
        <w:t>Critical Access Hospital (CAH)</w:t>
      </w:r>
    </w:p>
    <w:p w14:paraId="18D81714" w14:textId="12BEEFEA" w:rsidR="000D1E1B" w:rsidRDefault="000D1E1B" w:rsidP="00D9266D">
      <w:pPr>
        <w:pStyle w:val="ListParagraph"/>
        <w:numPr>
          <w:ilvl w:val="0"/>
          <w:numId w:val="22"/>
        </w:numPr>
        <w:ind w:left="2880" w:right="-180"/>
        <w:jc w:val="both"/>
        <w:rPr>
          <w:sz w:val="24"/>
          <w:szCs w:val="24"/>
        </w:rPr>
      </w:pPr>
      <w:r>
        <w:rPr>
          <w:sz w:val="24"/>
          <w:szCs w:val="24"/>
        </w:rPr>
        <w:t>Rural Health Clinics</w:t>
      </w:r>
    </w:p>
    <w:p w14:paraId="42069BE8" w14:textId="231F37DD" w:rsidR="000D1E1B" w:rsidRDefault="000D1E1B" w:rsidP="00D9266D">
      <w:pPr>
        <w:pStyle w:val="ListParagraph"/>
        <w:numPr>
          <w:ilvl w:val="0"/>
          <w:numId w:val="22"/>
        </w:numPr>
        <w:ind w:left="2880" w:right="-180"/>
        <w:jc w:val="both"/>
        <w:rPr>
          <w:sz w:val="24"/>
          <w:szCs w:val="24"/>
        </w:rPr>
      </w:pPr>
      <w:r>
        <w:rPr>
          <w:sz w:val="24"/>
          <w:szCs w:val="24"/>
        </w:rPr>
        <w:t>Federally Qualified Health Centers</w:t>
      </w:r>
    </w:p>
    <w:p w14:paraId="7FAECF61" w14:textId="37684FA1" w:rsidR="000D1E1B" w:rsidRDefault="000D1E1B" w:rsidP="00D9266D">
      <w:pPr>
        <w:pStyle w:val="ListParagraph"/>
        <w:numPr>
          <w:ilvl w:val="0"/>
          <w:numId w:val="22"/>
        </w:numPr>
        <w:ind w:left="2880" w:right="-180"/>
        <w:jc w:val="both"/>
        <w:rPr>
          <w:sz w:val="24"/>
          <w:szCs w:val="24"/>
        </w:rPr>
      </w:pPr>
      <w:r>
        <w:rPr>
          <w:sz w:val="24"/>
          <w:szCs w:val="24"/>
        </w:rPr>
        <w:t>Hospital-based or CAH-based Renal Dialysis Centers</w:t>
      </w:r>
    </w:p>
    <w:p w14:paraId="37C394E7" w14:textId="2E90AC6A" w:rsidR="000D1E1B" w:rsidRDefault="000D1E1B" w:rsidP="00D9266D">
      <w:pPr>
        <w:pStyle w:val="ListParagraph"/>
        <w:numPr>
          <w:ilvl w:val="0"/>
          <w:numId w:val="22"/>
        </w:numPr>
        <w:ind w:left="2880" w:right="-180"/>
        <w:jc w:val="both"/>
        <w:rPr>
          <w:sz w:val="24"/>
          <w:szCs w:val="24"/>
        </w:rPr>
      </w:pPr>
      <w:r>
        <w:rPr>
          <w:sz w:val="24"/>
          <w:szCs w:val="24"/>
        </w:rPr>
        <w:t>Skilled Nursing Facilities (SNF)</w:t>
      </w:r>
    </w:p>
    <w:p w14:paraId="71A59B5B" w14:textId="651D8FC1" w:rsidR="00FF3D6B" w:rsidRDefault="000D1E1B" w:rsidP="00D9266D">
      <w:pPr>
        <w:pStyle w:val="ListParagraph"/>
        <w:numPr>
          <w:ilvl w:val="0"/>
          <w:numId w:val="22"/>
        </w:numPr>
        <w:ind w:left="2880" w:right="-180"/>
        <w:jc w:val="both"/>
        <w:rPr>
          <w:sz w:val="24"/>
          <w:szCs w:val="24"/>
        </w:rPr>
      </w:pPr>
      <w:r>
        <w:rPr>
          <w:sz w:val="24"/>
          <w:szCs w:val="24"/>
        </w:rPr>
        <w:t>Community Mental Health Centers (CMHC)</w:t>
      </w:r>
    </w:p>
    <w:p w14:paraId="1D12AFC8" w14:textId="0562A263" w:rsidR="00C95B45" w:rsidRDefault="00AE0BDB" w:rsidP="00D9266D">
      <w:pPr>
        <w:pStyle w:val="ListParagraph"/>
        <w:numPr>
          <w:ilvl w:val="0"/>
          <w:numId w:val="3"/>
        </w:numPr>
        <w:ind w:left="1440" w:right="-180"/>
        <w:jc w:val="both"/>
        <w:rPr>
          <w:sz w:val="24"/>
          <w:szCs w:val="24"/>
        </w:rPr>
      </w:pPr>
      <w:r>
        <w:rPr>
          <w:sz w:val="24"/>
          <w:szCs w:val="24"/>
        </w:rPr>
        <w:t>Providers will use their clinical judgement to identify patients for telehealth services.</w:t>
      </w:r>
    </w:p>
    <w:p w14:paraId="33FC6F48" w14:textId="36A3A9FF" w:rsidR="008F1E58" w:rsidRDefault="00503033" w:rsidP="00D9266D">
      <w:pPr>
        <w:pStyle w:val="ListParagraph"/>
        <w:numPr>
          <w:ilvl w:val="0"/>
          <w:numId w:val="3"/>
        </w:numPr>
        <w:ind w:left="1440" w:right="-180"/>
        <w:jc w:val="both"/>
        <w:rPr>
          <w:sz w:val="24"/>
          <w:szCs w:val="24"/>
        </w:rPr>
      </w:pPr>
      <w:r>
        <w:rPr>
          <w:sz w:val="24"/>
          <w:szCs w:val="24"/>
        </w:rPr>
        <w:t>T</w:t>
      </w:r>
      <w:r w:rsidR="008F1E58">
        <w:rPr>
          <w:sz w:val="24"/>
          <w:szCs w:val="24"/>
        </w:rPr>
        <w:t xml:space="preserve">elehealth </w:t>
      </w:r>
      <w:r w:rsidR="00070389">
        <w:rPr>
          <w:sz w:val="24"/>
          <w:szCs w:val="24"/>
        </w:rPr>
        <w:t xml:space="preserve">services </w:t>
      </w:r>
      <w:r>
        <w:rPr>
          <w:sz w:val="24"/>
          <w:szCs w:val="24"/>
        </w:rPr>
        <w:t xml:space="preserve">will be integrated </w:t>
      </w:r>
      <w:r w:rsidR="008F1E58">
        <w:rPr>
          <w:sz w:val="24"/>
          <w:szCs w:val="24"/>
        </w:rPr>
        <w:t>alongside face-to-face clinical activities.</w:t>
      </w:r>
    </w:p>
    <w:p w14:paraId="1DD27C9F" w14:textId="40FE7961" w:rsidR="00E25D1B" w:rsidRDefault="00193DAF" w:rsidP="00D9266D">
      <w:pPr>
        <w:pStyle w:val="ListParagraph"/>
        <w:numPr>
          <w:ilvl w:val="0"/>
          <w:numId w:val="3"/>
        </w:numPr>
        <w:ind w:left="1440" w:right="-18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55C35B91" w14:textId="160FC457" w:rsidR="001E0360" w:rsidRPr="00790397" w:rsidRDefault="00A600D3" w:rsidP="00D9266D">
      <w:pPr>
        <w:pStyle w:val="ListParagraph"/>
        <w:numPr>
          <w:ilvl w:val="0"/>
          <w:numId w:val="3"/>
        </w:numPr>
        <w:ind w:left="1440" w:right="-180"/>
        <w:jc w:val="both"/>
        <w:rPr>
          <w:sz w:val="24"/>
          <w:szCs w:val="24"/>
        </w:rPr>
      </w:pPr>
      <w:r>
        <w:rPr>
          <w:sz w:val="24"/>
          <w:szCs w:val="24"/>
        </w:rPr>
        <w:t xml:space="preserve">For patients in need of referrals, the same procedures apply that were in place prior to offering telehealth services. </w:t>
      </w:r>
    </w:p>
    <w:p w14:paraId="1945AE2F" w14:textId="7C465218" w:rsidR="003D67EF" w:rsidRDefault="00350BEA" w:rsidP="00D9266D">
      <w:pPr>
        <w:pStyle w:val="ListParagraph"/>
        <w:numPr>
          <w:ilvl w:val="0"/>
          <w:numId w:val="3"/>
        </w:numPr>
        <w:ind w:left="1440" w:right="-180"/>
        <w:jc w:val="both"/>
        <w:rPr>
          <w:sz w:val="24"/>
          <w:szCs w:val="24"/>
        </w:rPr>
      </w:pPr>
      <w:r>
        <w:rPr>
          <w:sz w:val="24"/>
          <w:szCs w:val="24"/>
        </w:rPr>
        <w:t>T</w:t>
      </w:r>
      <w:r w:rsidR="003D67EF">
        <w:rPr>
          <w:sz w:val="24"/>
          <w:szCs w:val="24"/>
        </w:rPr>
        <w:t>elehealth services provided</w:t>
      </w:r>
      <w:r w:rsidR="00DC2881">
        <w:rPr>
          <w:sz w:val="24"/>
          <w:szCs w:val="24"/>
        </w:rPr>
        <w:t xml:space="preserve"> at the originating site</w:t>
      </w:r>
      <w:r w:rsidR="003D67EF">
        <w:rPr>
          <w:sz w:val="24"/>
          <w:szCs w:val="24"/>
        </w:rPr>
        <w:t>.</w:t>
      </w:r>
    </w:p>
    <w:p w14:paraId="22557582" w14:textId="2F4E7CCA" w:rsidR="001767E2" w:rsidRDefault="00466F00" w:rsidP="00D9266D">
      <w:pPr>
        <w:pStyle w:val="ListParagraph"/>
        <w:numPr>
          <w:ilvl w:val="0"/>
          <w:numId w:val="4"/>
        </w:numPr>
        <w:ind w:left="2160" w:right="-180"/>
        <w:jc w:val="both"/>
        <w:rPr>
          <w:sz w:val="24"/>
          <w:szCs w:val="24"/>
        </w:rPr>
      </w:pPr>
      <w:r>
        <w:rPr>
          <w:sz w:val="24"/>
          <w:szCs w:val="24"/>
        </w:rPr>
        <w:t>Medicare telehealth visits</w:t>
      </w:r>
    </w:p>
    <w:p w14:paraId="71160E26" w14:textId="77777777" w:rsidR="00BF2428" w:rsidRPr="00BF2428" w:rsidRDefault="00BF2428" w:rsidP="00D9266D">
      <w:pPr>
        <w:pStyle w:val="ListParagraph"/>
        <w:spacing w:after="0"/>
        <w:ind w:left="3240" w:right="-180"/>
        <w:jc w:val="both"/>
        <w:rPr>
          <w:sz w:val="24"/>
          <w:szCs w:val="24"/>
        </w:rPr>
      </w:pPr>
    </w:p>
    <w:p w14:paraId="69AFA3EA" w14:textId="5B201226" w:rsidR="004708BF" w:rsidRPr="002B5682" w:rsidRDefault="00070389" w:rsidP="00D9266D">
      <w:pPr>
        <w:pStyle w:val="ListParagraph"/>
        <w:numPr>
          <w:ilvl w:val="0"/>
          <w:numId w:val="2"/>
        </w:numPr>
        <w:ind w:left="720" w:right="-180" w:hanging="360"/>
        <w:jc w:val="both"/>
        <w:rPr>
          <w:b/>
          <w:bCs/>
          <w:sz w:val="24"/>
          <w:szCs w:val="24"/>
        </w:rPr>
      </w:pPr>
      <w:r>
        <w:rPr>
          <w:b/>
          <w:bCs/>
          <w:sz w:val="24"/>
          <w:szCs w:val="24"/>
        </w:rPr>
        <w:t>P</w:t>
      </w:r>
      <w:r w:rsidR="00F27FA8">
        <w:rPr>
          <w:b/>
          <w:bCs/>
          <w:sz w:val="24"/>
          <w:szCs w:val="24"/>
        </w:rPr>
        <w:t>repa</w:t>
      </w:r>
      <w:r>
        <w:rPr>
          <w:b/>
          <w:bCs/>
          <w:sz w:val="24"/>
          <w:szCs w:val="24"/>
        </w:rPr>
        <w:t>ration</w:t>
      </w:r>
      <w:r w:rsidR="00F27FA8">
        <w:rPr>
          <w:b/>
          <w:bCs/>
          <w:sz w:val="24"/>
          <w:szCs w:val="24"/>
        </w:rPr>
        <w:t xml:space="preserve"> for a </w:t>
      </w:r>
      <w:r>
        <w:rPr>
          <w:b/>
          <w:bCs/>
          <w:sz w:val="24"/>
          <w:szCs w:val="24"/>
        </w:rPr>
        <w:t>Telehealth</w:t>
      </w:r>
      <w:r w:rsidR="00F27FA8">
        <w:rPr>
          <w:b/>
          <w:bCs/>
          <w:sz w:val="24"/>
          <w:szCs w:val="24"/>
        </w:rPr>
        <w:t xml:space="preserve"> </w:t>
      </w:r>
      <w:r w:rsidR="002101EE">
        <w:rPr>
          <w:b/>
          <w:bCs/>
          <w:sz w:val="24"/>
          <w:szCs w:val="24"/>
        </w:rPr>
        <w:t>Visit</w:t>
      </w:r>
      <w:r w:rsidR="00F95C7C">
        <w:rPr>
          <w:b/>
          <w:bCs/>
          <w:sz w:val="24"/>
          <w:szCs w:val="24"/>
        </w:rPr>
        <w:t xml:space="preserve"> at the Originating Site</w:t>
      </w:r>
      <w:r>
        <w:rPr>
          <w:b/>
          <w:bCs/>
          <w:sz w:val="24"/>
          <w:szCs w:val="24"/>
        </w:rPr>
        <w:t>.</w:t>
      </w:r>
    </w:p>
    <w:p w14:paraId="4280848A" w14:textId="7B67EC5D" w:rsidR="00F27FA8" w:rsidRPr="004708BF" w:rsidRDefault="001A09DB" w:rsidP="00D9266D">
      <w:pPr>
        <w:pStyle w:val="ListParagraph"/>
        <w:numPr>
          <w:ilvl w:val="0"/>
          <w:numId w:val="17"/>
        </w:numPr>
        <w:ind w:left="1440" w:right="-180"/>
        <w:jc w:val="both"/>
        <w:rPr>
          <w:sz w:val="24"/>
          <w:szCs w:val="24"/>
        </w:rPr>
      </w:pPr>
      <w:r>
        <w:rPr>
          <w:sz w:val="24"/>
          <w:szCs w:val="24"/>
        </w:rPr>
        <w:t>Complete appropriate preparation prior to a virtual-type visit</w:t>
      </w:r>
      <w:r w:rsidR="00F27FA8" w:rsidRPr="004708BF">
        <w:rPr>
          <w:sz w:val="24"/>
          <w:szCs w:val="24"/>
        </w:rPr>
        <w:t>.</w:t>
      </w:r>
    </w:p>
    <w:p w14:paraId="04972BB9" w14:textId="2C4D6BC7" w:rsidR="00441415" w:rsidRPr="00DC2881" w:rsidRDefault="00DC2881" w:rsidP="00D9266D">
      <w:pPr>
        <w:pStyle w:val="ListParagraph"/>
        <w:numPr>
          <w:ilvl w:val="0"/>
          <w:numId w:val="6"/>
        </w:numPr>
        <w:ind w:left="2160" w:right="-180"/>
        <w:jc w:val="both"/>
        <w:rPr>
          <w:rFonts w:cstheme="minorHAnsi"/>
          <w:sz w:val="24"/>
          <w:szCs w:val="24"/>
        </w:rPr>
      </w:pPr>
      <w:r>
        <w:rPr>
          <w:rFonts w:cstheme="minorHAnsi"/>
          <w:sz w:val="24"/>
          <w:szCs w:val="24"/>
        </w:rPr>
        <w:t xml:space="preserve">The patient needs to be </w:t>
      </w:r>
      <w:r w:rsidR="008F4B92">
        <w:rPr>
          <w:rFonts w:cstheme="minorHAnsi"/>
          <w:sz w:val="24"/>
          <w:szCs w:val="24"/>
        </w:rPr>
        <w:t>s</w:t>
      </w:r>
      <w:r w:rsidR="00893C09">
        <w:rPr>
          <w:rFonts w:cstheme="minorHAnsi"/>
          <w:sz w:val="24"/>
          <w:szCs w:val="24"/>
        </w:rPr>
        <w:t>chedul</w:t>
      </w:r>
      <w:r w:rsidR="008F4B92">
        <w:rPr>
          <w:rFonts w:cstheme="minorHAnsi"/>
          <w:sz w:val="24"/>
          <w:szCs w:val="24"/>
        </w:rPr>
        <w:t>e</w:t>
      </w:r>
      <w:r>
        <w:rPr>
          <w:rFonts w:cstheme="minorHAnsi"/>
          <w:sz w:val="24"/>
          <w:szCs w:val="24"/>
        </w:rPr>
        <w:t>d at the originating site for the use of space and technology for the connection with the distant site.</w:t>
      </w:r>
    </w:p>
    <w:p w14:paraId="6E7DDBBF" w14:textId="77777777" w:rsidR="0057027D" w:rsidRPr="0057027D" w:rsidRDefault="008F4B92" w:rsidP="00D9266D">
      <w:pPr>
        <w:pStyle w:val="ListParagraph"/>
        <w:numPr>
          <w:ilvl w:val="0"/>
          <w:numId w:val="6"/>
        </w:numPr>
        <w:ind w:left="2160" w:right="-180"/>
        <w:jc w:val="both"/>
        <w:rPr>
          <w:rFonts w:cstheme="minorHAnsi"/>
          <w:b/>
          <w:bCs/>
          <w:sz w:val="24"/>
          <w:szCs w:val="24"/>
        </w:rPr>
      </w:pPr>
      <w:r w:rsidRPr="00EF00AA">
        <w:rPr>
          <w:rFonts w:cstheme="minorHAnsi"/>
          <w:sz w:val="24"/>
          <w:szCs w:val="24"/>
        </w:rPr>
        <w:t xml:space="preserve">The </w:t>
      </w:r>
      <w:r w:rsidR="003B4893" w:rsidRPr="00EF00AA">
        <w:rPr>
          <w:rFonts w:cstheme="minorHAnsi"/>
          <w:sz w:val="24"/>
          <w:szCs w:val="24"/>
        </w:rPr>
        <w:t>originating site</w:t>
      </w:r>
      <w:r w:rsidR="002773F5" w:rsidRPr="00EF00AA">
        <w:rPr>
          <w:rFonts w:cstheme="minorHAnsi"/>
          <w:sz w:val="24"/>
          <w:szCs w:val="24"/>
        </w:rPr>
        <w:t xml:space="preserve"> </w:t>
      </w:r>
      <w:r w:rsidR="00790397" w:rsidRPr="00EF00AA">
        <w:rPr>
          <w:rFonts w:cstheme="minorHAnsi"/>
          <w:sz w:val="24"/>
          <w:szCs w:val="24"/>
        </w:rPr>
        <w:t>must have</w:t>
      </w:r>
      <w:r w:rsidR="002101EE" w:rsidRPr="00EF00AA">
        <w:rPr>
          <w:rFonts w:cstheme="minorHAnsi"/>
          <w:sz w:val="24"/>
          <w:szCs w:val="24"/>
        </w:rPr>
        <w:t xml:space="preserve"> a</w:t>
      </w:r>
      <w:r w:rsidR="003B2FEC" w:rsidRPr="00EF00AA">
        <w:rPr>
          <w:rFonts w:cstheme="minorHAnsi"/>
          <w:sz w:val="24"/>
          <w:szCs w:val="24"/>
        </w:rPr>
        <w:t xml:space="preserve"> stable in</w:t>
      </w:r>
      <w:r w:rsidR="00790397" w:rsidRPr="00EF00AA">
        <w:rPr>
          <w:rFonts w:cstheme="minorHAnsi"/>
          <w:sz w:val="24"/>
          <w:szCs w:val="24"/>
        </w:rPr>
        <w:t>t</w:t>
      </w:r>
      <w:r w:rsidR="003B2FEC" w:rsidRPr="00EF00AA">
        <w:rPr>
          <w:rFonts w:cstheme="minorHAnsi"/>
          <w:sz w:val="24"/>
          <w:szCs w:val="24"/>
        </w:rPr>
        <w:t>ernet and</w:t>
      </w:r>
      <w:r w:rsidR="00790397" w:rsidRPr="00EF00AA">
        <w:rPr>
          <w:rFonts w:cstheme="minorHAnsi"/>
          <w:sz w:val="24"/>
          <w:szCs w:val="24"/>
        </w:rPr>
        <w:t xml:space="preserve"> the </w:t>
      </w:r>
      <w:r w:rsidR="002101EE" w:rsidRPr="00EF00AA">
        <w:rPr>
          <w:rFonts w:cstheme="minorHAnsi"/>
          <w:sz w:val="24"/>
          <w:szCs w:val="24"/>
        </w:rPr>
        <w:t xml:space="preserve">appropriate </w:t>
      </w:r>
      <w:r w:rsidR="003B2FEC" w:rsidRPr="00EF00AA">
        <w:rPr>
          <w:rFonts w:cstheme="minorHAnsi"/>
          <w:sz w:val="24"/>
          <w:szCs w:val="24"/>
        </w:rPr>
        <w:t>technology to participate in</w:t>
      </w:r>
      <w:r w:rsidR="002773F5" w:rsidRPr="00EF00AA">
        <w:rPr>
          <w:rFonts w:cstheme="minorHAnsi"/>
          <w:sz w:val="24"/>
          <w:szCs w:val="24"/>
        </w:rPr>
        <w:t xml:space="preserve"> the</w:t>
      </w:r>
      <w:r w:rsidR="003B2FEC" w:rsidRPr="00EF00AA">
        <w:rPr>
          <w:rFonts w:cstheme="minorHAnsi"/>
          <w:sz w:val="24"/>
          <w:szCs w:val="24"/>
        </w:rPr>
        <w:t xml:space="preserve"> visit</w:t>
      </w:r>
      <w:r w:rsidR="002101EE" w:rsidRPr="00EF00AA">
        <w:rPr>
          <w:rFonts w:cstheme="minorHAnsi"/>
          <w:sz w:val="24"/>
          <w:szCs w:val="24"/>
        </w:rPr>
        <w:t xml:space="preserve">. </w:t>
      </w:r>
    </w:p>
    <w:p w14:paraId="424895A5" w14:textId="1C92CC9A" w:rsidR="00BD3FB8" w:rsidRDefault="002101EE" w:rsidP="00D9266D">
      <w:pPr>
        <w:pStyle w:val="ListParagraph"/>
        <w:ind w:left="2160" w:right="-180"/>
        <w:jc w:val="both"/>
        <w:rPr>
          <w:rFonts w:cstheme="minorHAnsi"/>
          <w:b/>
          <w:bCs/>
          <w:sz w:val="24"/>
          <w:szCs w:val="24"/>
        </w:rPr>
      </w:pPr>
      <w:r w:rsidRPr="00EF00AA">
        <w:rPr>
          <w:rFonts w:cstheme="minorHAnsi"/>
          <w:sz w:val="24"/>
          <w:szCs w:val="24"/>
        </w:rPr>
        <w:t>(</w:t>
      </w:r>
      <w:r w:rsidR="00D9266D">
        <w:rPr>
          <w:rFonts w:cstheme="minorHAnsi"/>
          <w:b/>
          <w:bCs/>
          <w:sz w:val="24"/>
          <w:szCs w:val="24"/>
        </w:rPr>
        <w:t>Refer</w:t>
      </w:r>
      <w:r w:rsidRPr="00EF00AA">
        <w:rPr>
          <w:rFonts w:cstheme="minorHAnsi"/>
          <w:b/>
          <w:bCs/>
          <w:sz w:val="24"/>
          <w:szCs w:val="24"/>
        </w:rPr>
        <w:t xml:space="preserve"> to </w:t>
      </w:r>
      <w:r w:rsidR="001767E2">
        <w:rPr>
          <w:rFonts w:cstheme="minorHAnsi"/>
          <w:b/>
          <w:bCs/>
          <w:sz w:val="24"/>
          <w:szCs w:val="24"/>
        </w:rPr>
        <w:t>RHC/FQHC</w:t>
      </w:r>
      <w:r w:rsidRPr="00EF00AA">
        <w:rPr>
          <w:rFonts w:cstheme="minorHAnsi"/>
          <w:b/>
          <w:bCs/>
          <w:sz w:val="24"/>
          <w:szCs w:val="24"/>
        </w:rPr>
        <w:t xml:space="preserve"> Technology</w:t>
      </w:r>
      <w:r w:rsidR="001374EE" w:rsidRPr="00EF00AA">
        <w:rPr>
          <w:rFonts w:cstheme="minorHAnsi"/>
          <w:b/>
          <w:bCs/>
          <w:sz w:val="24"/>
          <w:szCs w:val="24"/>
        </w:rPr>
        <w:t xml:space="preserve"> </w:t>
      </w:r>
      <w:r w:rsidR="00584411">
        <w:rPr>
          <w:rFonts w:cstheme="minorHAnsi"/>
          <w:b/>
          <w:bCs/>
          <w:sz w:val="24"/>
          <w:szCs w:val="24"/>
        </w:rPr>
        <w:t>p</w:t>
      </w:r>
      <w:r w:rsidRPr="00EF00AA">
        <w:rPr>
          <w:rFonts w:cstheme="minorHAnsi"/>
          <w:b/>
          <w:bCs/>
          <w:sz w:val="24"/>
          <w:szCs w:val="24"/>
        </w:rPr>
        <w:t>olic</w:t>
      </w:r>
      <w:r w:rsidR="00DE1BBF">
        <w:rPr>
          <w:rFonts w:cstheme="minorHAnsi"/>
          <w:b/>
          <w:bCs/>
          <w:sz w:val="24"/>
          <w:szCs w:val="24"/>
        </w:rPr>
        <w:t>y</w:t>
      </w:r>
      <w:r w:rsidRPr="00EF00AA">
        <w:rPr>
          <w:rFonts w:cstheme="minorHAnsi"/>
          <w:b/>
          <w:bCs/>
          <w:sz w:val="24"/>
          <w:szCs w:val="24"/>
        </w:rPr>
        <w:t>)</w:t>
      </w:r>
    </w:p>
    <w:p w14:paraId="4FC53800" w14:textId="7C242C66" w:rsidR="003B2FEC" w:rsidRDefault="007A4DFD" w:rsidP="00D9266D">
      <w:pPr>
        <w:pStyle w:val="ListParagraph"/>
        <w:numPr>
          <w:ilvl w:val="0"/>
          <w:numId w:val="17"/>
        </w:numPr>
        <w:ind w:left="1440" w:right="-180"/>
        <w:jc w:val="both"/>
        <w:rPr>
          <w:rFonts w:cstheme="minorHAnsi"/>
          <w:sz w:val="24"/>
          <w:szCs w:val="24"/>
        </w:rPr>
      </w:pPr>
      <w:r>
        <w:rPr>
          <w:rFonts w:cstheme="minorHAnsi"/>
          <w:sz w:val="24"/>
          <w:szCs w:val="24"/>
        </w:rPr>
        <w:t>Complete appropriate preparation the d</w:t>
      </w:r>
      <w:r w:rsidR="001F5ECD">
        <w:rPr>
          <w:rFonts w:cstheme="minorHAnsi"/>
          <w:sz w:val="24"/>
          <w:szCs w:val="24"/>
        </w:rPr>
        <w:t>ay before</w:t>
      </w:r>
      <w:r>
        <w:rPr>
          <w:rFonts w:cstheme="minorHAnsi"/>
          <w:sz w:val="24"/>
          <w:szCs w:val="24"/>
        </w:rPr>
        <w:t xml:space="preserve"> a virtual-type</w:t>
      </w:r>
      <w:r w:rsidR="001F5ECD">
        <w:rPr>
          <w:rFonts w:cstheme="minorHAnsi"/>
          <w:sz w:val="24"/>
          <w:szCs w:val="24"/>
        </w:rPr>
        <w:t xml:space="preserve"> visit.</w:t>
      </w:r>
    </w:p>
    <w:p w14:paraId="01756F3F" w14:textId="39DFDB7C" w:rsidR="00E91FE1" w:rsidRPr="00D517ED" w:rsidRDefault="00E91FE1" w:rsidP="00D9266D">
      <w:pPr>
        <w:pStyle w:val="ListParagraph"/>
        <w:numPr>
          <w:ilvl w:val="0"/>
          <w:numId w:val="7"/>
        </w:numPr>
        <w:ind w:left="2160" w:right="-180"/>
        <w:jc w:val="both"/>
        <w:rPr>
          <w:rFonts w:cstheme="minorHAnsi"/>
          <w:sz w:val="24"/>
          <w:szCs w:val="24"/>
        </w:rPr>
      </w:pPr>
      <w:r w:rsidRPr="00D517ED">
        <w:rPr>
          <w:rFonts w:cstheme="minorHAnsi"/>
          <w:sz w:val="24"/>
          <w:szCs w:val="24"/>
        </w:rPr>
        <w:t>Ensure connectivity</w:t>
      </w:r>
      <w:r w:rsidR="00295DC0">
        <w:rPr>
          <w:rFonts w:cstheme="minorHAnsi"/>
          <w:sz w:val="24"/>
          <w:szCs w:val="24"/>
        </w:rPr>
        <w:t xml:space="preserve"> at the originating site</w:t>
      </w:r>
      <w:r w:rsidRPr="00D517ED">
        <w:rPr>
          <w:rFonts w:cstheme="minorHAnsi"/>
          <w:sz w:val="24"/>
          <w:szCs w:val="24"/>
        </w:rPr>
        <w:t xml:space="preserve"> can be established.</w:t>
      </w:r>
    </w:p>
    <w:p w14:paraId="1E0B7D25" w14:textId="79214A53" w:rsidR="00E91FE1" w:rsidRPr="00D517ED" w:rsidRDefault="00E91FE1" w:rsidP="00D9266D">
      <w:pPr>
        <w:pStyle w:val="ListParagraph"/>
        <w:numPr>
          <w:ilvl w:val="0"/>
          <w:numId w:val="15"/>
        </w:numPr>
        <w:ind w:left="2970" w:right="-180"/>
        <w:jc w:val="both"/>
        <w:rPr>
          <w:rFonts w:cstheme="minorHAnsi"/>
          <w:sz w:val="24"/>
          <w:szCs w:val="24"/>
        </w:rPr>
      </w:pPr>
      <w:r w:rsidRPr="00D517ED">
        <w:rPr>
          <w:rFonts w:cstheme="minorHAnsi"/>
          <w:sz w:val="24"/>
          <w:szCs w:val="24"/>
        </w:rPr>
        <w:t>Virtual test visit</w:t>
      </w:r>
      <w:r w:rsidR="0086772F">
        <w:rPr>
          <w:rFonts w:cstheme="minorHAnsi"/>
          <w:sz w:val="24"/>
          <w:szCs w:val="24"/>
        </w:rPr>
        <w:t>.</w:t>
      </w:r>
    </w:p>
    <w:p w14:paraId="3F9AF12E" w14:textId="7E3276CA" w:rsidR="00285F7E" w:rsidRPr="001767E2" w:rsidRDefault="0086772F" w:rsidP="00D9266D">
      <w:pPr>
        <w:pStyle w:val="ListParagraph"/>
        <w:numPr>
          <w:ilvl w:val="0"/>
          <w:numId w:val="7"/>
        </w:numPr>
        <w:spacing w:after="0"/>
        <w:ind w:left="2160" w:right="-180"/>
        <w:jc w:val="both"/>
        <w:rPr>
          <w:rFonts w:cstheme="minorHAnsi"/>
          <w:sz w:val="24"/>
          <w:szCs w:val="24"/>
        </w:rPr>
      </w:pPr>
      <w:r>
        <w:rPr>
          <w:rFonts w:cstheme="minorHAnsi"/>
          <w:sz w:val="24"/>
          <w:szCs w:val="24"/>
        </w:rPr>
        <w:t>The patient will receive a reminder of the visit and</w:t>
      </w:r>
      <w:r w:rsidR="005B1D47">
        <w:rPr>
          <w:rFonts w:cstheme="minorHAnsi"/>
          <w:sz w:val="24"/>
          <w:szCs w:val="24"/>
        </w:rPr>
        <w:t xml:space="preserve"> told to come in 15 minutes prior to appointment time to establish connection with the distant site</w:t>
      </w:r>
      <w:r>
        <w:rPr>
          <w:rFonts w:cstheme="minorHAnsi"/>
          <w:sz w:val="24"/>
          <w:szCs w:val="24"/>
        </w:rPr>
        <w:t>.</w:t>
      </w:r>
    </w:p>
    <w:p w14:paraId="6037F90F" w14:textId="2047E494" w:rsidR="0086772F" w:rsidRDefault="00B1015E" w:rsidP="00D9266D">
      <w:pPr>
        <w:pStyle w:val="ListParagraph"/>
        <w:numPr>
          <w:ilvl w:val="0"/>
          <w:numId w:val="18"/>
        </w:numPr>
        <w:spacing w:after="0"/>
        <w:ind w:left="2970" w:right="-180"/>
        <w:jc w:val="both"/>
        <w:rPr>
          <w:rFonts w:cstheme="minorHAnsi"/>
          <w:sz w:val="24"/>
          <w:szCs w:val="24"/>
        </w:rPr>
      </w:pPr>
      <w:r>
        <w:rPr>
          <w:rFonts w:cstheme="minorHAnsi"/>
          <w:sz w:val="24"/>
          <w:szCs w:val="24"/>
        </w:rPr>
        <w:t>An e</w:t>
      </w:r>
      <w:r w:rsidR="0086772F">
        <w:rPr>
          <w:rFonts w:cstheme="minorHAnsi"/>
          <w:sz w:val="24"/>
          <w:szCs w:val="24"/>
        </w:rPr>
        <w:t>mail with a link (encrypted)</w:t>
      </w:r>
      <w:r>
        <w:rPr>
          <w:rFonts w:cstheme="minorHAnsi"/>
          <w:sz w:val="24"/>
          <w:szCs w:val="24"/>
        </w:rPr>
        <w:t xml:space="preserve"> may be sent to the patient</w:t>
      </w:r>
      <w:r w:rsidR="0086772F">
        <w:rPr>
          <w:rFonts w:cstheme="minorHAnsi"/>
          <w:sz w:val="24"/>
          <w:szCs w:val="24"/>
        </w:rPr>
        <w:t>.</w:t>
      </w:r>
    </w:p>
    <w:p w14:paraId="2240B68C" w14:textId="752BEFC3" w:rsidR="0086772F" w:rsidRDefault="00B1015E" w:rsidP="00D9266D">
      <w:pPr>
        <w:pStyle w:val="ListParagraph"/>
        <w:numPr>
          <w:ilvl w:val="0"/>
          <w:numId w:val="18"/>
        </w:numPr>
        <w:spacing w:after="0"/>
        <w:ind w:left="2970" w:right="-180"/>
        <w:jc w:val="both"/>
        <w:rPr>
          <w:rFonts w:cstheme="minorHAnsi"/>
          <w:sz w:val="24"/>
          <w:szCs w:val="24"/>
        </w:rPr>
      </w:pPr>
      <w:r>
        <w:rPr>
          <w:rFonts w:cstheme="minorHAnsi"/>
          <w:sz w:val="24"/>
          <w:szCs w:val="24"/>
        </w:rPr>
        <w:t>The patient may be sent a t</w:t>
      </w:r>
      <w:r w:rsidR="0086772F">
        <w:rPr>
          <w:rFonts w:cstheme="minorHAnsi"/>
          <w:sz w:val="24"/>
          <w:szCs w:val="24"/>
        </w:rPr>
        <w:t>ext message.</w:t>
      </w:r>
    </w:p>
    <w:p w14:paraId="00C2A6E3" w14:textId="7ADF9BEB" w:rsidR="0086772F" w:rsidRDefault="00B1015E" w:rsidP="00D9266D">
      <w:pPr>
        <w:pStyle w:val="ListParagraph"/>
        <w:numPr>
          <w:ilvl w:val="0"/>
          <w:numId w:val="18"/>
        </w:numPr>
        <w:spacing w:after="0"/>
        <w:ind w:left="2970" w:right="-180"/>
        <w:jc w:val="both"/>
        <w:rPr>
          <w:rFonts w:cstheme="minorHAnsi"/>
          <w:sz w:val="24"/>
          <w:szCs w:val="24"/>
        </w:rPr>
      </w:pPr>
      <w:r>
        <w:rPr>
          <w:rFonts w:cstheme="minorHAnsi"/>
          <w:sz w:val="24"/>
          <w:szCs w:val="24"/>
        </w:rPr>
        <w:t>A p</w:t>
      </w:r>
      <w:r w:rsidR="0086772F">
        <w:rPr>
          <w:rFonts w:cstheme="minorHAnsi"/>
          <w:sz w:val="24"/>
          <w:szCs w:val="24"/>
        </w:rPr>
        <w:t>hone call</w:t>
      </w:r>
      <w:r>
        <w:rPr>
          <w:rFonts w:cstheme="minorHAnsi"/>
          <w:sz w:val="24"/>
          <w:szCs w:val="24"/>
        </w:rPr>
        <w:t xml:space="preserve"> may also serve as a reminder</w:t>
      </w:r>
      <w:r w:rsidR="0086772F">
        <w:rPr>
          <w:rFonts w:cstheme="minorHAnsi"/>
          <w:sz w:val="24"/>
          <w:szCs w:val="24"/>
        </w:rPr>
        <w:t xml:space="preserve">. </w:t>
      </w:r>
    </w:p>
    <w:p w14:paraId="1622500C" w14:textId="7576BCC9" w:rsidR="005B1D47" w:rsidRDefault="00475216" w:rsidP="004E7CE8">
      <w:pPr>
        <w:spacing w:after="0"/>
        <w:ind w:left="2160" w:firstLine="720"/>
        <w:jc w:val="both"/>
        <w:rPr>
          <w:rFonts w:cstheme="minorHAnsi"/>
          <w:b/>
          <w:bCs/>
          <w:sz w:val="24"/>
          <w:szCs w:val="24"/>
        </w:rPr>
      </w:pPr>
      <w:r w:rsidRPr="00EF00AA">
        <w:rPr>
          <w:rFonts w:cstheme="minorHAnsi"/>
          <w:b/>
          <w:bCs/>
          <w:sz w:val="24"/>
          <w:szCs w:val="24"/>
        </w:rPr>
        <w:t>(</w:t>
      </w:r>
      <w:r w:rsidR="00D9266D">
        <w:rPr>
          <w:rFonts w:cstheme="minorHAnsi"/>
          <w:b/>
          <w:bCs/>
          <w:sz w:val="24"/>
          <w:szCs w:val="24"/>
        </w:rPr>
        <w:t>Refer</w:t>
      </w:r>
      <w:r w:rsidRPr="00EF00AA">
        <w:rPr>
          <w:rFonts w:cstheme="minorHAnsi"/>
          <w:b/>
          <w:bCs/>
          <w:sz w:val="24"/>
          <w:szCs w:val="24"/>
        </w:rPr>
        <w:t xml:space="preserve"> to </w:t>
      </w:r>
      <w:r w:rsidR="001767E2">
        <w:rPr>
          <w:rFonts w:cstheme="minorHAnsi"/>
          <w:b/>
          <w:bCs/>
          <w:sz w:val="24"/>
          <w:szCs w:val="24"/>
        </w:rPr>
        <w:t xml:space="preserve">RHC/FQHC </w:t>
      </w:r>
      <w:r w:rsidRPr="00EF00AA">
        <w:rPr>
          <w:rFonts w:cstheme="minorHAnsi"/>
          <w:b/>
          <w:bCs/>
          <w:sz w:val="24"/>
          <w:szCs w:val="24"/>
        </w:rPr>
        <w:t xml:space="preserve">Distant Site </w:t>
      </w:r>
      <w:r w:rsidR="00584411">
        <w:rPr>
          <w:rFonts w:cstheme="minorHAnsi"/>
          <w:b/>
          <w:bCs/>
          <w:sz w:val="24"/>
          <w:szCs w:val="24"/>
        </w:rPr>
        <w:t>p</w:t>
      </w:r>
      <w:r w:rsidRPr="00EF00AA">
        <w:rPr>
          <w:rFonts w:cstheme="minorHAnsi"/>
          <w:b/>
          <w:bCs/>
          <w:sz w:val="24"/>
          <w:szCs w:val="24"/>
        </w:rPr>
        <w:t>olic</w:t>
      </w:r>
      <w:r w:rsidR="005B3A61" w:rsidRPr="00EF00AA">
        <w:rPr>
          <w:rFonts w:cstheme="minorHAnsi"/>
          <w:b/>
          <w:bCs/>
          <w:sz w:val="24"/>
          <w:szCs w:val="24"/>
        </w:rPr>
        <w:t>y</w:t>
      </w:r>
      <w:r w:rsidRPr="00EF00AA">
        <w:rPr>
          <w:rFonts w:cstheme="minorHAnsi"/>
          <w:b/>
          <w:bCs/>
          <w:sz w:val="24"/>
          <w:szCs w:val="24"/>
        </w:rPr>
        <w:t>)</w:t>
      </w:r>
    </w:p>
    <w:p w14:paraId="67355B56" w14:textId="04FDD6E0" w:rsidR="004E7CE8" w:rsidRDefault="004E7CE8" w:rsidP="004E7CE8">
      <w:pPr>
        <w:spacing w:after="0"/>
        <w:ind w:left="2160" w:firstLine="720"/>
        <w:jc w:val="both"/>
        <w:rPr>
          <w:rFonts w:cstheme="minorHAnsi"/>
          <w:b/>
          <w:bCs/>
          <w:sz w:val="24"/>
          <w:szCs w:val="24"/>
        </w:rPr>
      </w:pPr>
    </w:p>
    <w:p w14:paraId="192900AE" w14:textId="77777777" w:rsidR="004E7CE8" w:rsidRPr="00EF00AA" w:rsidRDefault="004E7CE8" w:rsidP="004E7CE8">
      <w:pPr>
        <w:spacing w:after="0"/>
        <w:ind w:left="2160" w:firstLine="720"/>
        <w:jc w:val="both"/>
        <w:rPr>
          <w:rFonts w:cstheme="minorHAnsi"/>
          <w:b/>
          <w:bCs/>
          <w:sz w:val="24"/>
          <w:szCs w:val="24"/>
        </w:rPr>
      </w:pPr>
    </w:p>
    <w:p w14:paraId="038AA3CC" w14:textId="2FDEE432" w:rsidR="003F1471" w:rsidRDefault="00B1015E" w:rsidP="00D9266D">
      <w:pPr>
        <w:pStyle w:val="ListParagraph"/>
        <w:numPr>
          <w:ilvl w:val="0"/>
          <w:numId w:val="17"/>
        </w:numPr>
        <w:ind w:left="1440"/>
        <w:jc w:val="both"/>
        <w:rPr>
          <w:rFonts w:cstheme="minorHAnsi"/>
          <w:sz w:val="24"/>
          <w:szCs w:val="24"/>
        </w:rPr>
      </w:pPr>
      <w:r>
        <w:rPr>
          <w:rFonts w:cstheme="minorHAnsi"/>
          <w:sz w:val="24"/>
          <w:szCs w:val="24"/>
        </w:rPr>
        <w:t>Complete appropriate actions the d</w:t>
      </w:r>
      <w:r w:rsidR="003F1471">
        <w:rPr>
          <w:rFonts w:cstheme="minorHAnsi"/>
          <w:sz w:val="24"/>
          <w:szCs w:val="24"/>
        </w:rPr>
        <w:t xml:space="preserve">ay of </w:t>
      </w:r>
      <w:r>
        <w:rPr>
          <w:rFonts w:cstheme="minorHAnsi"/>
          <w:sz w:val="24"/>
          <w:szCs w:val="24"/>
        </w:rPr>
        <w:t xml:space="preserve">the virtual-type </w:t>
      </w:r>
      <w:r w:rsidR="003F1471">
        <w:rPr>
          <w:rFonts w:cstheme="minorHAnsi"/>
          <w:sz w:val="24"/>
          <w:szCs w:val="24"/>
        </w:rPr>
        <w:t>visit.</w:t>
      </w:r>
    </w:p>
    <w:p w14:paraId="41BE5506" w14:textId="6912A812" w:rsidR="009819E6" w:rsidRDefault="00B1015E" w:rsidP="004E7CE8">
      <w:pPr>
        <w:pStyle w:val="ListParagraph"/>
        <w:numPr>
          <w:ilvl w:val="0"/>
          <w:numId w:val="8"/>
        </w:numPr>
        <w:ind w:left="2160"/>
        <w:jc w:val="both"/>
        <w:rPr>
          <w:rFonts w:cstheme="minorHAnsi"/>
          <w:sz w:val="24"/>
          <w:szCs w:val="24"/>
        </w:rPr>
      </w:pPr>
      <w:r>
        <w:rPr>
          <w:rFonts w:cstheme="minorHAnsi"/>
          <w:sz w:val="24"/>
          <w:szCs w:val="24"/>
        </w:rPr>
        <w:t>The patient must be p</w:t>
      </w:r>
      <w:r w:rsidR="00801AA0">
        <w:rPr>
          <w:rFonts w:cstheme="minorHAnsi"/>
          <w:sz w:val="24"/>
          <w:szCs w:val="24"/>
        </w:rPr>
        <w:t>r</w:t>
      </w:r>
      <w:r>
        <w:rPr>
          <w:rFonts w:cstheme="minorHAnsi"/>
          <w:sz w:val="24"/>
          <w:szCs w:val="24"/>
        </w:rPr>
        <w:t>e</w:t>
      </w:r>
      <w:r w:rsidR="00801AA0">
        <w:rPr>
          <w:rFonts w:cstheme="minorHAnsi"/>
          <w:sz w:val="24"/>
          <w:szCs w:val="24"/>
        </w:rPr>
        <w:t>par</w:t>
      </w:r>
      <w:r>
        <w:rPr>
          <w:rFonts w:cstheme="minorHAnsi"/>
          <w:sz w:val="24"/>
          <w:szCs w:val="24"/>
        </w:rPr>
        <w:t>ed</w:t>
      </w:r>
      <w:r w:rsidR="00801AA0">
        <w:rPr>
          <w:rFonts w:cstheme="minorHAnsi"/>
          <w:sz w:val="24"/>
          <w:szCs w:val="24"/>
        </w:rPr>
        <w:t xml:space="preserve"> for</w:t>
      </w:r>
      <w:r w:rsidR="009819E6">
        <w:rPr>
          <w:rFonts w:cstheme="minorHAnsi"/>
          <w:sz w:val="24"/>
          <w:szCs w:val="24"/>
        </w:rPr>
        <w:t xml:space="preserve"> </w:t>
      </w:r>
      <w:r>
        <w:rPr>
          <w:rFonts w:cstheme="minorHAnsi"/>
          <w:sz w:val="24"/>
          <w:szCs w:val="24"/>
        </w:rPr>
        <w:t xml:space="preserve">the </w:t>
      </w:r>
      <w:r w:rsidR="00801AA0">
        <w:rPr>
          <w:rFonts w:cstheme="minorHAnsi"/>
          <w:sz w:val="24"/>
          <w:szCs w:val="24"/>
        </w:rPr>
        <w:t>visit</w:t>
      </w:r>
      <w:r w:rsidR="009819E6">
        <w:rPr>
          <w:rFonts w:cstheme="minorHAnsi"/>
          <w:sz w:val="24"/>
          <w:szCs w:val="24"/>
        </w:rPr>
        <w:t>.</w:t>
      </w:r>
    </w:p>
    <w:p w14:paraId="0E8635ED" w14:textId="39E8054B" w:rsidR="008568AF" w:rsidRDefault="008568AF" w:rsidP="004E7CE8">
      <w:pPr>
        <w:pStyle w:val="ListParagraph"/>
        <w:numPr>
          <w:ilvl w:val="0"/>
          <w:numId w:val="10"/>
        </w:numPr>
        <w:spacing w:after="0"/>
        <w:ind w:left="2880"/>
        <w:jc w:val="both"/>
        <w:rPr>
          <w:rFonts w:cstheme="minorHAnsi"/>
          <w:sz w:val="24"/>
          <w:szCs w:val="24"/>
        </w:rPr>
      </w:pPr>
      <w:r>
        <w:rPr>
          <w:rFonts w:cstheme="minorHAnsi"/>
          <w:sz w:val="24"/>
          <w:szCs w:val="24"/>
        </w:rPr>
        <w:t>Bring</w:t>
      </w:r>
      <w:r w:rsidR="00B1015E">
        <w:rPr>
          <w:rFonts w:cstheme="minorHAnsi"/>
          <w:sz w:val="24"/>
          <w:szCs w:val="24"/>
        </w:rPr>
        <w:t xml:space="preserve"> the</w:t>
      </w:r>
      <w:r>
        <w:rPr>
          <w:rFonts w:cstheme="minorHAnsi"/>
          <w:sz w:val="24"/>
          <w:szCs w:val="24"/>
        </w:rPr>
        <w:t xml:space="preserve"> patient to </w:t>
      </w:r>
      <w:r w:rsidR="00B1015E">
        <w:rPr>
          <w:rFonts w:cstheme="minorHAnsi"/>
          <w:sz w:val="24"/>
          <w:szCs w:val="24"/>
        </w:rPr>
        <w:t xml:space="preserve">the </w:t>
      </w:r>
      <w:r>
        <w:rPr>
          <w:rFonts w:cstheme="minorHAnsi"/>
          <w:sz w:val="24"/>
          <w:szCs w:val="24"/>
        </w:rPr>
        <w:t>telehealth room (take vital signs, review medication list, document intake information in the originating site EMR, etc.).</w:t>
      </w:r>
    </w:p>
    <w:p w14:paraId="1ACBA4ED" w14:textId="4DEE0F02" w:rsidR="00801AA0" w:rsidRDefault="00801AA0" w:rsidP="004E7CE8">
      <w:pPr>
        <w:pStyle w:val="ListParagraph"/>
        <w:numPr>
          <w:ilvl w:val="0"/>
          <w:numId w:val="10"/>
        </w:numPr>
        <w:spacing w:after="0"/>
        <w:ind w:left="2880"/>
        <w:jc w:val="both"/>
        <w:rPr>
          <w:rFonts w:cstheme="minorHAnsi"/>
          <w:sz w:val="24"/>
          <w:szCs w:val="24"/>
        </w:rPr>
      </w:pPr>
      <w:r>
        <w:rPr>
          <w:rFonts w:cstheme="minorHAnsi"/>
          <w:sz w:val="24"/>
          <w:szCs w:val="24"/>
        </w:rPr>
        <w:t>Ensure all necessary technology is available and working.</w:t>
      </w:r>
      <w:r w:rsidR="004B0763">
        <w:rPr>
          <w:rFonts w:cstheme="minorHAnsi"/>
          <w:sz w:val="24"/>
          <w:szCs w:val="24"/>
        </w:rPr>
        <w:t xml:space="preserve"> </w:t>
      </w:r>
    </w:p>
    <w:p w14:paraId="44985B0F" w14:textId="13A8F045" w:rsidR="00550EA8" w:rsidRPr="00EF00AA" w:rsidRDefault="00056F20" w:rsidP="004E7CE8">
      <w:pPr>
        <w:spacing w:after="0"/>
        <w:ind w:left="2160" w:firstLine="720"/>
        <w:jc w:val="both"/>
        <w:rPr>
          <w:rFonts w:cstheme="minorHAnsi"/>
          <w:b/>
          <w:bCs/>
          <w:sz w:val="24"/>
          <w:szCs w:val="24"/>
        </w:rPr>
      </w:pPr>
      <w:r w:rsidRPr="00EF00AA">
        <w:rPr>
          <w:rFonts w:cstheme="minorHAnsi"/>
          <w:b/>
          <w:bCs/>
          <w:sz w:val="24"/>
          <w:szCs w:val="24"/>
        </w:rPr>
        <w:t>(</w:t>
      </w:r>
      <w:r w:rsidR="00D9266D">
        <w:rPr>
          <w:rFonts w:cstheme="minorHAnsi"/>
          <w:b/>
          <w:bCs/>
          <w:sz w:val="24"/>
          <w:szCs w:val="24"/>
        </w:rPr>
        <w:t>Refer</w:t>
      </w:r>
      <w:r w:rsidRPr="00EF00AA">
        <w:rPr>
          <w:rFonts w:cstheme="minorHAnsi"/>
          <w:b/>
          <w:bCs/>
          <w:sz w:val="24"/>
          <w:szCs w:val="24"/>
        </w:rPr>
        <w:t xml:space="preserve"> to </w:t>
      </w:r>
      <w:r w:rsidR="001767E2">
        <w:rPr>
          <w:rFonts w:cstheme="minorHAnsi"/>
          <w:b/>
          <w:bCs/>
          <w:sz w:val="24"/>
          <w:szCs w:val="24"/>
        </w:rPr>
        <w:t>RHC/FQHC</w:t>
      </w:r>
      <w:r w:rsidRPr="00EF00AA">
        <w:rPr>
          <w:rFonts w:cstheme="minorHAnsi"/>
          <w:b/>
          <w:bCs/>
          <w:sz w:val="24"/>
          <w:szCs w:val="24"/>
        </w:rPr>
        <w:t xml:space="preserve"> Technology </w:t>
      </w:r>
      <w:r w:rsidR="00584411">
        <w:rPr>
          <w:rFonts w:cstheme="minorHAnsi"/>
          <w:b/>
          <w:bCs/>
          <w:sz w:val="24"/>
          <w:szCs w:val="24"/>
        </w:rPr>
        <w:t>p</w:t>
      </w:r>
      <w:r w:rsidRPr="00EF00AA">
        <w:rPr>
          <w:rFonts w:cstheme="minorHAnsi"/>
          <w:b/>
          <w:bCs/>
          <w:sz w:val="24"/>
          <w:szCs w:val="24"/>
        </w:rPr>
        <w:t>olicy)</w:t>
      </w:r>
    </w:p>
    <w:p w14:paraId="77F1D3D8" w14:textId="5E8F569B" w:rsidR="00441415" w:rsidRDefault="008568AF" w:rsidP="004E7CE8">
      <w:pPr>
        <w:pStyle w:val="ListParagraph"/>
        <w:numPr>
          <w:ilvl w:val="0"/>
          <w:numId w:val="10"/>
        </w:numPr>
        <w:ind w:left="2880"/>
        <w:jc w:val="both"/>
        <w:rPr>
          <w:rFonts w:cstheme="minorHAnsi"/>
          <w:sz w:val="24"/>
          <w:szCs w:val="24"/>
        </w:rPr>
      </w:pPr>
      <w:r>
        <w:rPr>
          <w:rFonts w:cstheme="minorHAnsi"/>
          <w:sz w:val="24"/>
          <w:szCs w:val="24"/>
        </w:rPr>
        <w:t>Have personnel stay with the patient until all information has been communicated to the distant site provider and the staff has been dismissed.</w:t>
      </w:r>
      <w:r w:rsidR="004B0763">
        <w:rPr>
          <w:rFonts w:cstheme="minorHAnsi"/>
          <w:sz w:val="24"/>
          <w:szCs w:val="24"/>
        </w:rPr>
        <w:t xml:space="preserve"> </w:t>
      </w:r>
    </w:p>
    <w:p w14:paraId="3A198723" w14:textId="4593975D" w:rsidR="00584411" w:rsidRDefault="000500E1" w:rsidP="004E7CE8">
      <w:pPr>
        <w:pStyle w:val="ListParagraph"/>
        <w:numPr>
          <w:ilvl w:val="0"/>
          <w:numId w:val="10"/>
        </w:numPr>
        <w:ind w:left="2880"/>
        <w:jc w:val="both"/>
        <w:rPr>
          <w:rFonts w:cstheme="minorHAnsi"/>
          <w:sz w:val="24"/>
          <w:szCs w:val="24"/>
        </w:rPr>
      </w:pPr>
      <w:r>
        <w:rPr>
          <w:rFonts w:cstheme="minorHAnsi"/>
          <w:sz w:val="24"/>
          <w:szCs w:val="24"/>
        </w:rPr>
        <w:t>Provide the patient with a means to call for assistance (call light, bell, etc.)</w:t>
      </w:r>
      <w:r w:rsidR="002B3ADF">
        <w:rPr>
          <w:rFonts w:cstheme="minorHAnsi"/>
          <w:sz w:val="24"/>
          <w:szCs w:val="24"/>
        </w:rPr>
        <w:t xml:space="preserve"> or remain with the patient when needed for safety or as requested</w:t>
      </w:r>
      <w:r>
        <w:rPr>
          <w:rFonts w:cstheme="minorHAnsi"/>
          <w:sz w:val="24"/>
          <w:szCs w:val="24"/>
        </w:rPr>
        <w:t>.</w:t>
      </w:r>
      <w:r w:rsidR="00584411">
        <w:rPr>
          <w:rFonts w:cstheme="minorHAnsi"/>
          <w:sz w:val="24"/>
          <w:szCs w:val="24"/>
        </w:rPr>
        <w:t xml:space="preserve"> </w:t>
      </w:r>
    </w:p>
    <w:p w14:paraId="2C4DD3E0" w14:textId="472F731E" w:rsidR="009819E6" w:rsidRDefault="00C005C3" w:rsidP="00D9266D">
      <w:pPr>
        <w:pStyle w:val="ListParagraph"/>
        <w:numPr>
          <w:ilvl w:val="0"/>
          <w:numId w:val="17"/>
        </w:numPr>
        <w:ind w:left="1440"/>
        <w:jc w:val="both"/>
        <w:rPr>
          <w:rFonts w:cstheme="minorHAnsi"/>
          <w:sz w:val="24"/>
          <w:szCs w:val="24"/>
        </w:rPr>
      </w:pPr>
      <w:r>
        <w:rPr>
          <w:rFonts w:cstheme="minorHAnsi"/>
          <w:sz w:val="24"/>
          <w:szCs w:val="24"/>
        </w:rPr>
        <w:t>Complete appropriate actions f</w:t>
      </w:r>
      <w:r w:rsidR="009819E6">
        <w:rPr>
          <w:rFonts w:cstheme="minorHAnsi"/>
          <w:sz w:val="24"/>
          <w:szCs w:val="24"/>
        </w:rPr>
        <w:t>ollowing</w:t>
      </w:r>
      <w:r>
        <w:rPr>
          <w:rFonts w:cstheme="minorHAnsi"/>
          <w:sz w:val="24"/>
          <w:szCs w:val="24"/>
        </w:rPr>
        <w:t xml:space="preserve"> the virtual-type</w:t>
      </w:r>
      <w:r w:rsidR="009819E6">
        <w:rPr>
          <w:rFonts w:cstheme="minorHAnsi"/>
          <w:sz w:val="24"/>
          <w:szCs w:val="24"/>
        </w:rPr>
        <w:t xml:space="preserve"> visit.</w:t>
      </w:r>
    </w:p>
    <w:p w14:paraId="085089D4" w14:textId="1863A17C" w:rsidR="00DE1BBF" w:rsidRPr="00D7213B" w:rsidRDefault="000500E1" w:rsidP="004E7CE8">
      <w:pPr>
        <w:pStyle w:val="ListParagraph"/>
        <w:numPr>
          <w:ilvl w:val="0"/>
          <w:numId w:val="25"/>
        </w:numPr>
        <w:ind w:left="2160"/>
        <w:jc w:val="both"/>
        <w:rPr>
          <w:rFonts w:cstheme="minorHAnsi"/>
          <w:sz w:val="24"/>
          <w:szCs w:val="24"/>
        </w:rPr>
      </w:pPr>
      <w:r w:rsidRPr="00584470">
        <w:rPr>
          <w:rFonts w:cstheme="minorHAnsi"/>
          <w:sz w:val="24"/>
          <w:szCs w:val="24"/>
        </w:rPr>
        <w:t xml:space="preserve">Facilitate any discharge instructions and follow-up as </w:t>
      </w:r>
      <w:r w:rsidR="00584470" w:rsidRPr="00584470">
        <w:rPr>
          <w:rFonts w:cstheme="minorHAnsi"/>
          <w:sz w:val="24"/>
          <w:szCs w:val="24"/>
        </w:rPr>
        <w:t xml:space="preserve">indicated by the distant site. </w:t>
      </w:r>
      <w:r w:rsidR="005F5286" w:rsidRPr="00584470">
        <w:rPr>
          <w:rFonts w:cstheme="minorHAnsi"/>
          <w:sz w:val="24"/>
          <w:szCs w:val="24"/>
        </w:rPr>
        <w:t xml:space="preserve"> </w:t>
      </w:r>
      <w:r w:rsidR="00DE1BBF" w:rsidRPr="00D7213B">
        <w:rPr>
          <w:rFonts w:cstheme="minorHAnsi"/>
          <w:sz w:val="24"/>
          <w:szCs w:val="24"/>
        </w:rPr>
        <w:tab/>
      </w:r>
    </w:p>
    <w:p w14:paraId="1D70338D" w14:textId="77777777" w:rsidR="001767E2" w:rsidRPr="00584470" w:rsidRDefault="001767E2" w:rsidP="001767E2">
      <w:pPr>
        <w:pStyle w:val="ListParagraph"/>
        <w:ind w:left="3960"/>
        <w:jc w:val="both"/>
        <w:rPr>
          <w:rFonts w:cstheme="minorHAnsi"/>
          <w:sz w:val="24"/>
          <w:szCs w:val="24"/>
        </w:rPr>
      </w:pPr>
    </w:p>
    <w:p w14:paraId="6737B56D" w14:textId="79294F4D" w:rsidR="009B17DC" w:rsidRDefault="009B17DC" w:rsidP="00D9266D">
      <w:pPr>
        <w:pStyle w:val="ListParagraph"/>
        <w:numPr>
          <w:ilvl w:val="0"/>
          <w:numId w:val="2"/>
        </w:numPr>
        <w:ind w:left="720" w:hanging="360"/>
        <w:jc w:val="both"/>
        <w:rPr>
          <w:b/>
          <w:bCs/>
          <w:sz w:val="24"/>
          <w:szCs w:val="24"/>
        </w:rPr>
      </w:pPr>
      <w:r>
        <w:rPr>
          <w:b/>
          <w:bCs/>
          <w:sz w:val="24"/>
          <w:szCs w:val="24"/>
        </w:rPr>
        <w:t>Documentation Requirements</w:t>
      </w:r>
      <w:r w:rsidR="00C005C3">
        <w:rPr>
          <w:b/>
          <w:bCs/>
          <w:sz w:val="24"/>
          <w:szCs w:val="24"/>
        </w:rPr>
        <w:t xml:space="preserve"> of the Telehealth Visit.</w:t>
      </w:r>
    </w:p>
    <w:p w14:paraId="79237A8D" w14:textId="0E01B7C0" w:rsidR="00635A95" w:rsidRDefault="00584470" w:rsidP="004E7CE8">
      <w:pPr>
        <w:pStyle w:val="ListParagraph"/>
        <w:numPr>
          <w:ilvl w:val="0"/>
          <w:numId w:val="23"/>
        </w:numPr>
        <w:ind w:left="1440"/>
        <w:jc w:val="both"/>
        <w:rPr>
          <w:sz w:val="24"/>
          <w:szCs w:val="24"/>
        </w:rPr>
      </w:pPr>
      <w:r>
        <w:rPr>
          <w:sz w:val="24"/>
          <w:szCs w:val="24"/>
        </w:rPr>
        <w:t xml:space="preserve">Document </w:t>
      </w:r>
      <w:r w:rsidR="00C005C3">
        <w:rPr>
          <w:sz w:val="24"/>
          <w:szCs w:val="24"/>
        </w:rPr>
        <w:t xml:space="preserve">any </w:t>
      </w:r>
      <w:r>
        <w:rPr>
          <w:sz w:val="24"/>
          <w:szCs w:val="24"/>
        </w:rPr>
        <w:t xml:space="preserve">intake information, </w:t>
      </w:r>
      <w:r w:rsidR="00C005C3">
        <w:rPr>
          <w:sz w:val="24"/>
          <w:szCs w:val="24"/>
        </w:rPr>
        <w:t>to include</w:t>
      </w:r>
      <w:r>
        <w:rPr>
          <w:sz w:val="24"/>
          <w:szCs w:val="24"/>
        </w:rPr>
        <w:t>, but not limited to:</w:t>
      </w:r>
    </w:p>
    <w:p w14:paraId="507DDC2E" w14:textId="617DE171" w:rsidR="00584470" w:rsidRDefault="00C005C3" w:rsidP="004E7CE8">
      <w:pPr>
        <w:pStyle w:val="ListParagraph"/>
        <w:numPr>
          <w:ilvl w:val="0"/>
          <w:numId w:val="24"/>
        </w:numPr>
        <w:ind w:left="2160"/>
        <w:jc w:val="both"/>
        <w:rPr>
          <w:sz w:val="24"/>
          <w:szCs w:val="24"/>
        </w:rPr>
      </w:pPr>
      <w:r>
        <w:rPr>
          <w:sz w:val="24"/>
          <w:szCs w:val="24"/>
        </w:rPr>
        <w:t>All v</w:t>
      </w:r>
      <w:r w:rsidR="00584470">
        <w:rPr>
          <w:sz w:val="24"/>
          <w:szCs w:val="24"/>
        </w:rPr>
        <w:t>ital signs</w:t>
      </w:r>
      <w:r>
        <w:rPr>
          <w:sz w:val="24"/>
          <w:szCs w:val="24"/>
        </w:rPr>
        <w:t xml:space="preserve"> must be documented, along with the time taken.</w:t>
      </w:r>
    </w:p>
    <w:p w14:paraId="58E8872A" w14:textId="7CE8FE3A" w:rsidR="00584470" w:rsidRDefault="00C005C3" w:rsidP="004E7CE8">
      <w:pPr>
        <w:pStyle w:val="ListParagraph"/>
        <w:numPr>
          <w:ilvl w:val="0"/>
          <w:numId w:val="24"/>
        </w:numPr>
        <w:ind w:left="2160"/>
        <w:jc w:val="both"/>
        <w:rPr>
          <w:sz w:val="24"/>
          <w:szCs w:val="24"/>
        </w:rPr>
      </w:pPr>
      <w:r>
        <w:rPr>
          <w:sz w:val="24"/>
          <w:szCs w:val="24"/>
        </w:rPr>
        <w:t>The m</w:t>
      </w:r>
      <w:r w:rsidR="00584470">
        <w:rPr>
          <w:sz w:val="24"/>
          <w:szCs w:val="24"/>
        </w:rPr>
        <w:t>edication review</w:t>
      </w:r>
      <w:r>
        <w:rPr>
          <w:sz w:val="24"/>
          <w:szCs w:val="24"/>
        </w:rPr>
        <w:t xml:space="preserve"> must include any changes to current medications being taken</w:t>
      </w:r>
      <w:r w:rsidR="00584470">
        <w:rPr>
          <w:sz w:val="24"/>
          <w:szCs w:val="24"/>
        </w:rPr>
        <w:t>.</w:t>
      </w:r>
    </w:p>
    <w:p w14:paraId="786769FD" w14:textId="514709E6" w:rsidR="00584470" w:rsidRDefault="00584470" w:rsidP="004E7CE8">
      <w:pPr>
        <w:pStyle w:val="ListParagraph"/>
        <w:numPr>
          <w:ilvl w:val="0"/>
          <w:numId w:val="24"/>
        </w:numPr>
        <w:spacing w:after="0"/>
        <w:ind w:left="2160"/>
        <w:jc w:val="both"/>
        <w:rPr>
          <w:sz w:val="24"/>
          <w:szCs w:val="24"/>
        </w:rPr>
      </w:pPr>
      <w:r>
        <w:rPr>
          <w:sz w:val="24"/>
          <w:szCs w:val="24"/>
        </w:rPr>
        <w:t>Indicate originating site for specific distant site visit</w:t>
      </w:r>
      <w:r w:rsidR="00943B84">
        <w:rPr>
          <w:sz w:val="24"/>
          <w:szCs w:val="24"/>
        </w:rPr>
        <w:t xml:space="preserve"> (“Originating site for cardiology appointment with Dr. XXX at XXX distant site.”)</w:t>
      </w:r>
      <w:r>
        <w:rPr>
          <w:sz w:val="24"/>
          <w:szCs w:val="24"/>
        </w:rPr>
        <w:t>.</w:t>
      </w:r>
    </w:p>
    <w:p w14:paraId="6F4699B7" w14:textId="70C73C32" w:rsidR="00943B84" w:rsidRPr="00D7213B" w:rsidRDefault="00584411" w:rsidP="004E7CE8">
      <w:pPr>
        <w:ind w:left="1440" w:firstLine="720"/>
        <w:jc w:val="both"/>
        <w:rPr>
          <w:b/>
          <w:bCs/>
          <w:sz w:val="24"/>
          <w:szCs w:val="24"/>
        </w:rPr>
      </w:pPr>
      <w:r w:rsidRPr="00DE1BBF">
        <w:rPr>
          <w:b/>
          <w:bCs/>
          <w:sz w:val="24"/>
          <w:szCs w:val="24"/>
        </w:rPr>
        <w:t>(</w:t>
      </w:r>
      <w:r w:rsidR="00D9266D">
        <w:rPr>
          <w:b/>
          <w:bCs/>
          <w:sz w:val="24"/>
          <w:szCs w:val="24"/>
        </w:rPr>
        <w:t>Refer</w:t>
      </w:r>
      <w:r w:rsidRPr="00DE1BBF">
        <w:rPr>
          <w:b/>
          <w:bCs/>
          <w:sz w:val="24"/>
          <w:szCs w:val="24"/>
        </w:rPr>
        <w:t xml:space="preserve"> to </w:t>
      </w:r>
      <w:r w:rsidR="00FD7D17" w:rsidRPr="00DE1BBF">
        <w:rPr>
          <w:b/>
          <w:bCs/>
          <w:sz w:val="24"/>
          <w:szCs w:val="24"/>
        </w:rPr>
        <w:t>RHC/FQHC</w:t>
      </w:r>
      <w:r w:rsidRPr="00DE1BBF">
        <w:rPr>
          <w:b/>
          <w:bCs/>
          <w:sz w:val="24"/>
          <w:szCs w:val="24"/>
        </w:rPr>
        <w:t xml:space="preserve"> Documentation policy)</w:t>
      </w:r>
    </w:p>
    <w:sectPr w:rsidR="00943B84" w:rsidRPr="00D7213B" w:rsidSect="00D9266D">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5A5D" w14:textId="77777777" w:rsidR="00EA2E9B" w:rsidRDefault="00EA2E9B" w:rsidP="00606B42">
      <w:pPr>
        <w:spacing w:after="0" w:line="240" w:lineRule="auto"/>
      </w:pPr>
      <w:r>
        <w:separator/>
      </w:r>
    </w:p>
  </w:endnote>
  <w:endnote w:type="continuationSeparator" w:id="0">
    <w:p w14:paraId="00856314" w14:textId="77777777" w:rsidR="00EA2E9B" w:rsidRDefault="00EA2E9B"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3D7A" w14:textId="77777777" w:rsidR="00D9266D" w:rsidRPr="00DE4F81" w:rsidRDefault="00D9266D" w:rsidP="00D9266D">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96552"/>
    <w:r w:rsidRPr="00DE4F81">
      <w:rPr>
        <w:noProof/>
        <w:sz w:val="18"/>
        <w:szCs w:val="18"/>
      </w:rPr>
      <mc:AlternateContent>
        <mc:Choice Requires="wps">
          <w:drawing>
            <wp:anchor distT="0" distB="0" distL="114300" distR="114300" simplePos="0" relativeHeight="251661312" behindDoc="0" locked="0" layoutInCell="1" allowOverlap="1" wp14:anchorId="45468BD9" wp14:editId="3E6FDFC5">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630511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27632F37" w14:textId="77777777" w:rsidR="00D9266D" w:rsidRPr="00DE4F81" w:rsidRDefault="00D9266D" w:rsidP="00D9266D">
    <w:pPr>
      <w:pStyle w:val="NormalWeb"/>
      <w:spacing w:before="0" w:beforeAutospacing="0" w:after="0" w:afterAutospacing="0"/>
      <w:rPr>
        <w:color w:val="222222"/>
        <w:sz w:val="14"/>
        <w:szCs w:val="14"/>
        <w:shd w:val="clear" w:color="auto" w:fill="FFFFFF"/>
      </w:rPr>
    </w:pPr>
  </w:p>
  <w:p w14:paraId="2FDB2334" w14:textId="14A7B5A4" w:rsidR="002B4400" w:rsidRPr="00D9266D" w:rsidRDefault="00D9266D" w:rsidP="00D9266D">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E98E" w14:textId="77777777" w:rsidR="00EA2E9B" w:rsidRDefault="00EA2E9B" w:rsidP="00606B42">
      <w:pPr>
        <w:spacing w:after="0" w:line="240" w:lineRule="auto"/>
      </w:pPr>
      <w:r>
        <w:separator/>
      </w:r>
    </w:p>
  </w:footnote>
  <w:footnote w:type="continuationSeparator" w:id="0">
    <w:p w14:paraId="34CFAFA7" w14:textId="77777777" w:rsidR="00EA2E9B" w:rsidRDefault="00EA2E9B"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19510"/>
      <w:docPartObj>
        <w:docPartGallery w:val="Page Numbers (Top of Page)"/>
        <w:docPartUnique/>
      </w:docPartObj>
    </w:sdtPr>
    <w:sdtContent>
      <w:p w14:paraId="759B3938" w14:textId="77777777" w:rsidR="00D9266D" w:rsidRDefault="00D9266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48F4245" w14:textId="77777777" w:rsidR="00D9266D" w:rsidRDefault="00D92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745A7FE6" w:rsidR="00606B42" w:rsidRDefault="00D9266D">
        <w:pPr>
          <w:pStyle w:val="Header"/>
        </w:pPr>
        <w:r>
          <w:rPr>
            <w:noProof/>
          </w:rPr>
          <w:drawing>
            <wp:anchor distT="0" distB="0" distL="114300" distR="114300" simplePos="0" relativeHeight="251659264" behindDoc="1" locked="0" layoutInCell="1" allowOverlap="1" wp14:anchorId="5C02E55F" wp14:editId="381D4FA0">
              <wp:simplePos x="0" y="0"/>
              <wp:positionH relativeFrom="column">
                <wp:posOffset>4914900</wp:posOffset>
              </wp:positionH>
              <wp:positionV relativeFrom="paragraph">
                <wp:posOffset>-20320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038DDCC1" w:rsidR="00D92F63" w:rsidRPr="00D9266D" w:rsidRDefault="00645C7D" w:rsidP="00606B42">
    <w:pPr>
      <w:pStyle w:val="Header"/>
      <w:jc w:val="center"/>
      <w:rPr>
        <w:b/>
        <w:bCs/>
        <w:color w:val="FF0000"/>
        <w:sz w:val="28"/>
        <w:szCs w:val="28"/>
      </w:rPr>
    </w:pPr>
    <w:r w:rsidRPr="00D9266D">
      <w:rPr>
        <w:b/>
        <w:bCs/>
        <w:color w:val="FF0000"/>
        <w:sz w:val="28"/>
        <w:szCs w:val="28"/>
      </w:rPr>
      <w:t>Rural Health Clinic/Federally Qualified Health Center</w:t>
    </w:r>
  </w:p>
  <w:p w14:paraId="4A705346" w14:textId="6302AA97" w:rsidR="00606B42" w:rsidRPr="001B7186" w:rsidRDefault="00923455" w:rsidP="00606B42">
    <w:pPr>
      <w:pStyle w:val="Header"/>
      <w:jc w:val="center"/>
      <w:rPr>
        <w:b/>
        <w:bCs/>
        <w:sz w:val="28"/>
        <w:szCs w:val="28"/>
      </w:rPr>
    </w:pPr>
    <w:r>
      <w:rPr>
        <w:b/>
        <w:bCs/>
        <w:sz w:val="28"/>
        <w:szCs w:val="28"/>
      </w:rPr>
      <w:t xml:space="preserve">Originating </w:t>
    </w:r>
    <w:r w:rsidR="00D92F63">
      <w:rPr>
        <w:b/>
        <w:bCs/>
        <w:sz w:val="28"/>
        <w:szCs w:val="28"/>
      </w:rPr>
      <w:t xml:space="preserve">Site Requirements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8BF2F6B"/>
    <w:multiLevelType w:val="hybridMultilevel"/>
    <w:tmpl w:val="AC48D0B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586714"/>
    <w:multiLevelType w:val="hybridMultilevel"/>
    <w:tmpl w:val="FD58C6D2"/>
    <w:lvl w:ilvl="0" w:tplc="3B1ADC1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CE551D5"/>
    <w:multiLevelType w:val="hybridMultilevel"/>
    <w:tmpl w:val="92F4FF20"/>
    <w:lvl w:ilvl="0" w:tplc="15FCBBAE">
      <w:start w:val="1"/>
      <w:numFmt w:val="lowerLetter"/>
      <w:lvlText w:val="%1)"/>
      <w:lvlJc w:val="left"/>
      <w:pPr>
        <w:ind w:left="3240" w:hanging="360"/>
      </w:pPr>
      <w:rPr>
        <w:rFonts w:hint="default"/>
      </w:rPr>
    </w:lvl>
    <w:lvl w:ilvl="1" w:tplc="0409001B">
      <w:start w:val="1"/>
      <w:numFmt w:val="lowerRoman"/>
      <w:lvlText w:val="%2."/>
      <w:lvlJc w:val="righ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FED0841"/>
    <w:multiLevelType w:val="hybridMultilevel"/>
    <w:tmpl w:val="814471CE"/>
    <w:lvl w:ilvl="0" w:tplc="04090017">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21C36A5"/>
    <w:multiLevelType w:val="hybridMultilevel"/>
    <w:tmpl w:val="A420FDA6"/>
    <w:lvl w:ilvl="0" w:tplc="6388D524">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C704972"/>
    <w:multiLevelType w:val="hybridMultilevel"/>
    <w:tmpl w:val="F80C6654"/>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EB741D5"/>
    <w:multiLevelType w:val="hybridMultilevel"/>
    <w:tmpl w:val="FDAAFB1C"/>
    <w:lvl w:ilvl="0" w:tplc="54C6A6F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2FC4C2E"/>
    <w:multiLevelType w:val="hybridMultilevel"/>
    <w:tmpl w:val="E9AE5984"/>
    <w:lvl w:ilvl="0" w:tplc="09C2A06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52FD6FFD"/>
    <w:multiLevelType w:val="hybridMultilevel"/>
    <w:tmpl w:val="048E2B28"/>
    <w:lvl w:ilvl="0" w:tplc="88E43A2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59696781"/>
    <w:multiLevelType w:val="hybridMultilevel"/>
    <w:tmpl w:val="70641CAE"/>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D7522CF"/>
    <w:multiLevelType w:val="hybridMultilevel"/>
    <w:tmpl w:val="E092D914"/>
    <w:lvl w:ilvl="0" w:tplc="87DA55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27329BD"/>
    <w:multiLevelType w:val="hybridMultilevel"/>
    <w:tmpl w:val="2188E252"/>
    <w:lvl w:ilvl="0" w:tplc="4DAC106A">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15:restartNumberingAfterBreak="0">
    <w:nsid w:val="63701CFA"/>
    <w:multiLevelType w:val="hybridMultilevel"/>
    <w:tmpl w:val="887A48D2"/>
    <w:lvl w:ilvl="0" w:tplc="7610DD3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6DB63D0C"/>
    <w:multiLevelType w:val="hybridMultilevel"/>
    <w:tmpl w:val="2BF81BB6"/>
    <w:lvl w:ilvl="0" w:tplc="609A6F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E225140"/>
    <w:multiLevelType w:val="hybridMultilevel"/>
    <w:tmpl w:val="8F566F9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6CB2664"/>
    <w:multiLevelType w:val="hybridMultilevel"/>
    <w:tmpl w:val="06CC1100"/>
    <w:lvl w:ilvl="0" w:tplc="C4E6277A">
      <w:start w:val="1"/>
      <w:numFmt w:val="decimal"/>
      <w:lvlText w:val="%1."/>
      <w:lvlJc w:val="left"/>
      <w:pPr>
        <w:ind w:left="3240" w:hanging="360"/>
      </w:pPr>
      <w:rPr>
        <w:rFonts w:hint="default"/>
        <w:sz w:val="24"/>
      </w:rPr>
    </w:lvl>
    <w:lvl w:ilvl="1" w:tplc="0409001B">
      <w:start w:val="1"/>
      <w:numFmt w:val="lowerRoman"/>
      <w:lvlText w:val="%2."/>
      <w:lvlJc w:val="righ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F692B10"/>
    <w:multiLevelType w:val="hybridMultilevel"/>
    <w:tmpl w:val="7868BB14"/>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9"/>
  </w:num>
  <w:num w:numId="2">
    <w:abstractNumId w:val="11"/>
  </w:num>
  <w:num w:numId="3">
    <w:abstractNumId w:val="7"/>
  </w:num>
  <w:num w:numId="4">
    <w:abstractNumId w:val="12"/>
  </w:num>
  <w:num w:numId="5">
    <w:abstractNumId w:val="9"/>
  </w:num>
  <w:num w:numId="6">
    <w:abstractNumId w:val="6"/>
  </w:num>
  <w:num w:numId="7">
    <w:abstractNumId w:val="0"/>
  </w:num>
  <w:num w:numId="8">
    <w:abstractNumId w:val="22"/>
  </w:num>
  <w:num w:numId="9">
    <w:abstractNumId w:val="15"/>
  </w:num>
  <w:num w:numId="10">
    <w:abstractNumId w:val="1"/>
  </w:num>
  <w:num w:numId="11">
    <w:abstractNumId w:val="10"/>
  </w:num>
  <w:num w:numId="12">
    <w:abstractNumId w:val="17"/>
  </w:num>
  <w:num w:numId="13">
    <w:abstractNumId w:val="20"/>
  </w:num>
  <w:num w:numId="14">
    <w:abstractNumId w:val="8"/>
  </w:num>
  <w:num w:numId="15">
    <w:abstractNumId w:val="14"/>
  </w:num>
  <w:num w:numId="16">
    <w:abstractNumId w:val="4"/>
  </w:num>
  <w:num w:numId="17">
    <w:abstractNumId w:val="16"/>
  </w:num>
  <w:num w:numId="18">
    <w:abstractNumId w:val="5"/>
  </w:num>
  <w:num w:numId="19">
    <w:abstractNumId w:val="24"/>
  </w:num>
  <w:num w:numId="20">
    <w:abstractNumId w:val="18"/>
  </w:num>
  <w:num w:numId="21">
    <w:abstractNumId w:val="2"/>
  </w:num>
  <w:num w:numId="22">
    <w:abstractNumId w:val="13"/>
  </w:num>
  <w:num w:numId="23">
    <w:abstractNumId w:val="21"/>
  </w:num>
  <w:num w:numId="24">
    <w:abstractNumId w:val="3"/>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1FAB"/>
    <w:rsid w:val="00041B30"/>
    <w:rsid w:val="00042D88"/>
    <w:rsid w:val="000500E1"/>
    <w:rsid w:val="00056F20"/>
    <w:rsid w:val="00061792"/>
    <w:rsid w:val="00070389"/>
    <w:rsid w:val="000860E9"/>
    <w:rsid w:val="0008764B"/>
    <w:rsid w:val="000974A1"/>
    <w:rsid w:val="000A4421"/>
    <w:rsid w:val="000A58D8"/>
    <w:rsid w:val="000B7D27"/>
    <w:rsid w:val="000D1E1B"/>
    <w:rsid w:val="000E0729"/>
    <w:rsid w:val="000E21F9"/>
    <w:rsid w:val="000E3D89"/>
    <w:rsid w:val="0010452D"/>
    <w:rsid w:val="00111CB6"/>
    <w:rsid w:val="00112D4C"/>
    <w:rsid w:val="0011697A"/>
    <w:rsid w:val="00120F2B"/>
    <w:rsid w:val="001374EE"/>
    <w:rsid w:val="00145967"/>
    <w:rsid w:val="00151282"/>
    <w:rsid w:val="0015183B"/>
    <w:rsid w:val="0015654F"/>
    <w:rsid w:val="00173009"/>
    <w:rsid w:val="00173EB7"/>
    <w:rsid w:val="001767E2"/>
    <w:rsid w:val="001863A3"/>
    <w:rsid w:val="00193DAF"/>
    <w:rsid w:val="001A09DB"/>
    <w:rsid w:val="001A39E3"/>
    <w:rsid w:val="001B6D3F"/>
    <w:rsid w:val="001B7186"/>
    <w:rsid w:val="001C03D4"/>
    <w:rsid w:val="001C25A4"/>
    <w:rsid w:val="001C397E"/>
    <w:rsid w:val="001E0360"/>
    <w:rsid w:val="001E0C57"/>
    <w:rsid w:val="001F5ECD"/>
    <w:rsid w:val="002101EE"/>
    <w:rsid w:val="00213231"/>
    <w:rsid w:val="002269B2"/>
    <w:rsid w:val="00242AA9"/>
    <w:rsid w:val="002546A7"/>
    <w:rsid w:val="00256350"/>
    <w:rsid w:val="002570A0"/>
    <w:rsid w:val="0026475F"/>
    <w:rsid w:val="002773F5"/>
    <w:rsid w:val="00283793"/>
    <w:rsid w:val="00285865"/>
    <w:rsid w:val="00285F7E"/>
    <w:rsid w:val="002934D4"/>
    <w:rsid w:val="00295DC0"/>
    <w:rsid w:val="002A4268"/>
    <w:rsid w:val="002B3ADF"/>
    <w:rsid w:val="002B4400"/>
    <w:rsid w:val="002B5682"/>
    <w:rsid w:val="002B6ED8"/>
    <w:rsid w:val="002D5D15"/>
    <w:rsid w:val="002F7C3A"/>
    <w:rsid w:val="00301329"/>
    <w:rsid w:val="0030717C"/>
    <w:rsid w:val="00315761"/>
    <w:rsid w:val="00321D35"/>
    <w:rsid w:val="00350525"/>
    <w:rsid w:val="00350BEA"/>
    <w:rsid w:val="0036346C"/>
    <w:rsid w:val="00384A4F"/>
    <w:rsid w:val="003914EE"/>
    <w:rsid w:val="003A1C04"/>
    <w:rsid w:val="003B2FEC"/>
    <w:rsid w:val="003B4893"/>
    <w:rsid w:val="003D1292"/>
    <w:rsid w:val="003D67EF"/>
    <w:rsid w:val="003F1471"/>
    <w:rsid w:val="003F430E"/>
    <w:rsid w:val="003F656C"/>
    <w:rsid w:val="00400DF3"/>
    <w:rsid w:val="0040475F"/>
    <w:rsid w:val="00414B94"/>
    <w:rsid w:val="004262EF"/>
    <w:rsid w:val="00426BF1"/>
    <w:rsid w:val="00441415"/>
    <w:rsid w:val="00451C21"/>
    <w:rsid w:val="004579C2"/>
    <w:rsid w:val="00466F00"/>
    <w:rsid w:val="004708BF"/>
    <w:rsid w:val="00475216"/>
    <w:rsid w:val="004766F6"/>
    <w:rsid w:val="004812F0"/>
    <w:rsid w:val="004B0763"/>
    <w:rsid w:val="004D2F75"/>
    <w:rsid w:val="004E7CE8"/>
    <w:rsid w:val="00503033"/>
    <w:rsid w:val="005032F3"/>
    <w:rsid w:val="005116D3"/>
    <w:rsid w:val="00512A5B"/>
    <w:rsid w:val="00521A72"/>
    <w:rsid w:val="00536A16"/>
    <w:rsid w:val="0054264C"/>
    <w:rsid w:val="00550EA8"/>
    <w:rsid w:val="0055181D"/>
    <w:rsid w:val="0055518E"/>
    <w:rsid w:val="0057027D"/>
    <w:rsid w:val="00571181"/>
    <w:rsid w:val="005737BC"/>
    <w:rsid w:val="00584411"/>
    <w:rsid w:val="00584470"/>
    <w:rsid w:val="00590B48"/>
    <w:rsid w:val="005A6C2F"/>
    <w:rsid w:val="005A78FE"/>
    <w:rsid w:val="005B1D47"/>
    <w:rsid w:val="005B3A61"/>
    <w:rsid w:val="005B6F29"/>
    <w:rsid w:val="005C2DD3"/>
    <w:rsid w:val="005F5286"/>
    <w:rsid w:val="00606B42"/>
    <w:rsid w:val="00622995"/>
    <w:rsid w:val="00635A95"/>
    <w:rsid w:val="00637F05"/>
    <w:rsid w:val="00641383"/>
    <w:rsid w:val="00645C7D"/>
    <w:rsid w:val="00656814"/>
    <w:rsid w:val="006715EE"/>
    <w:rsid w:val="006857B2"/>
    <w:rsid w:val="006A00AC"/>
    <w:rsid w:val="006A70C5"/>
    <w:rsid w:val="006C2D8D"/>
    <w:rsid w:val="006D6484"/>
    <w:rsid w:val="00702A31"/>
    <w:rsid w:val="00723232"/>
    <w:rsid w:val="00737B42"/>
    <w:rsid w:val="00740DBB"/>
    <w:rsid w:val="00741AE2"/>
    <w:rsid w:val="0075135F"/>
    <w:rsid w:val="00770391"/>
    <w:rsid w:val="0077571B"/>
    <w:rsid w:val="00781F8F"/>
    <w:rsid w:val="00790397"/>
    <w:rsid w:val="007905E9"/>
    <w:rsid w:val="007A4DFD"/>
    <w:rsid w:val="007E27A7"/>
    <w:rsid w:val="00801AA0"/>
    <w:rsid w:val="00821412"/>
    <w:rsid w:val="008246F5"/>
    <w:rsid w:val="008310BE"/>
    <w:rsid w:val="00850603"/>
    <w:rsid w:val="008568AF"/>
    <w:rsid w:val="00866773"/>
    <w:rsid w:val="0086772F"/>
    <w:rsid w:val="00893C09"/>
    <w:rsid w:val="008B1922"/>
    <w:rsid w:val="008F1E58"/>
    <w:rsid w:val="008F4B92"/>
    <w:rsid w:val="008F4CEA"/>
    <w:rsid w:val="00905D2B"/>
    <w:rsid w:val="009132C2"/>
    <w:rsid w:val="0091600B"/>
    <w:rsid w:val="00923455"/>
    <w:rsid w:val="00926EE2"/>
    <w:rsid w:val="00936C6C"/>
    <w:rsid w:val="00943B84"/>
    <w:rsid w:val="009819E6"/>
    <w:rsid w:val="0098214F"/>
    <w:rsid w:val="009822F7"/>
    <w:rsid w:val="00996ACB"/>
    <w:rsid w:val="009A1CB6"/>
    <w:rsid w:val="009A65CA"/>
    <w:rsid w:val="009B17DC"/>
    <w:rsid w:val="009D1404"/>
    <w:rsid w:val="009F1FB7"/>
    <w:rsid w:val="00A01F13"/>
    <w:rsid w:val="00A02365"/>
    <w:rsid w:val="00A375E1"/>
    <w:rsid w:val="00A50EE4"/>
    <w:rsid w:val="00A600D3"/>
    <w:rsid w:val="00A64B99"/>
    <w:rsid w:val="00A663EF"/>
    <w:rsid w:val="00A72324"/>
    <w:rsid w:val="00A81B86"/>
    <w:rsid w:val="00A843DB"/>
    <w:rsid w:val="00A86B57"/>
    <w:rsid w:val="00AA7BAE"/>
    <w:rsid w:val="00AB0963"/>
    <w:rsid w:val="00AB3FE9"/>
    <w:rsid w:val="00AC198E"/>
    <w:rsid w:val="00AD179A"/>
    <w:rsid w:val="00AD2C1B"/>
    <w:rsid w:val="00AE0BDB"/>
    <w:rsid w:val="00AE2EF8"/>
    <w:rsid w:val="00AE61A9"/>
    <w:rsid w:val="00B1015E"/>
    <w:rsid w:val="00B3775B"/>
    <w:rsid w:val="00B721C5"/>
    <w:rsid w:val="00B74A59"/>
    <w:rsid w:val="00B86645"/>
    <w:rsid w:val="00B91D01"/>
    <w:rsid w:val="00BA749B"/>
    <w:rsid w:val="00BC1C8F"/>
    <w:rsid w:val="00BC3898"/>
    <w:rsid w:val="00BD3FB8"/>
    <w:rsid w:val="00BF2428"/>
    <w:rsid w:val="00BF43BA"/>
    <w:rsid w:val="00C005C3"/>
    <w:rsid w:val="00C16A55"/>
    <w:rsid w:val="00C178BA"/>
    <w:rsid w:val="00C2258A"/>
    <w:rsid w:val="00C22751"/>
    <w:rsid w:val="00C408C3"/>
    <w:rsid w:val="00C571DB"/>
    <w:rsid w:val="00C65DF9"/>
    <w:rsid w:val="00C6673E"/>
    <w:rsid w:val="00C66D0C"/>
    <w:rsid w:val="00C91663"/>
    <w:rsid w:val="00C9239A"/>
    <w:rsid w:val="00C95B45"/>
    <w:rsid w:val="00C97C7D"/>
    <w:rsid w:val="00CB0461"/>
    <w:rsid w:val="00CB2558"/>
    <w:rsid w:val="00CC0CCD"/>
    <w:rsid w:val="00CD659E"/>
    <w:rsid w:val="00CF4169"/>
    <w:rsid w:val="00D00D76"/>
    <w:rsid w:val="00D0487B"/>
    <w:rsid w:val="00D06B1C"/>
    <w:rsid w:val="00D10783"/>
    <w:rsid w:val="00D111B2"/>
    <w:rsid w:val="00D23CF3"/>
    <w:rsid w:val="00D23D1D"/>
    <w:rsid w:val="00D257C3"/>
    <w:rsid w:val="00D34097"/>
    <w:rsid w:val="00D517ED"/>
    <w:rsid w:val="00D7213B"/>
    <w:rsid w:val="00D74180"/>
    <w:rsid w:val="00D828FC"/>
    <w:rsid w:val="00D912B7"/>
    <w:rsid w:val="00D9266D"/>
    <w:rsid w:val="00D92F63"/>
    <w:rsid w:val="00D94E0F"/>
    <w:rsid w:val="00DA2460"/>
    <w:rsid w:val="00DA7D89"/>
    <w:rsid w:val="00DB026E"/>
    <w:rsid w:val="00DB13B9"/>
    <w:rsid w:val="00DC0AB4"/>
    <w:rsid w:val="00DC2881"/>
    <w:rsid w:val="00DC4B08"/>
    <w:rsid w:val="00DC6142"/>
    <w:rsid w:val="00DD29FB"/>
    <w:rsid w:val="00DE1BBF"/>
    <w:rsid w:val="00DE41F3"/>
    <w:rsid w:val="00DF1527"/>
    <w:rsid w:val="00DF3E74"/>
    <w:rsid w:val="00DF52D1"/>
    <w:rsid w:val="00DF6310"/>
    <w:rsid w:val="00E00010"/>
    <w:rsid w:val="00E16E14"/>
    <w:rsid w:val="00E17DCA"/>
    <w:rsid w:val="00E223E2"/>
    <w:rsid w:val="00E25D1B"/>
    <w:rsid w:val="00E278A5"/>
    <w:rsid w:val="00E33339"/>
    <w:rsid w:val="00E54207"/>
    <w:rsid w:val="00E816BA"/>
    <w:rsid w:val="00E81958"/>
    <w:rsid w:val="00E91FE1"/>
    <w:rsid w:val="00EA2E9B"/>
    <w:rsid w:val="00EA7993"/>
    <w:rsid w:val="00ED590B"/>
    <w:rsid w:val="00EF00AA"/>
    <w:rsid w:val="00F03BB3"/>
    <w:rsid w:val="00F27FA8"/>
    <w:rsid w:val="00F30D33"/>
    <w:rsid w:val="00F40B17"/>
    <w:rsid w:val="00F41A54"/>
    <w:rsid w:val="00F4203C"/>
    <w:rsid w:val="00F4244F"/>
    <w:rsid w:val="00F61BB5"/>
    <w:rsid w:val="00F67388"/>
    <w:rsid w:val="00F70E23"/>
    <w:rsid w:val="00F75238"/>
    <w:rsid w:val="00F8068D"/>
    <w:rsid w:val="00F93F08"/>
    <w:rsid w:val="00F95C7C"/>
    <w:rsid w:val="00FB231D"/>
    <w:rsid w:val="00FC7CB9"/>
    <w:rsid w:val="00FD4147"/>
    <w:rsid w:val="00FD635E"/>
    <w:rsid w:val="00FD7D17"/>
    <w:rsid w:val="00FF3D6B"/>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360396603">
      <w:bodyDiv w:val="1"/>
      <w:marLeft w:val="0"/>
      <w:marRight w:val="0"/>
      <w:marTop w:val="0"/>
      <w:marBottom w:val="0"/>
      <w:divBdr>
        <w:top w:val="none" w:sz="0" w:space="0" w:color="auto"/>
        <w:left w:val="none" w:sz="0" w:space="0" w:color="auto"/>
        <w:bottom w:val="none" w:sz="0" w:space="0" w:color="auto"/>
        <w:right w:val="none" w:sz="0" w:space="0" w:color="auto"/>
      </w:divBdr>
    </w:div>
    <w:div w:id="1601063304">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files/document/medicare-telehealth-frequently-asked-questions-faqs-3172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s.gov/newsroom/fact-sheets/medicare-telemedicine-health-care-provider-fact-shee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2</cp:revision>
  <dcterms:created xsi:type="dcterms:W3CDTF">2021-04-29T21:15:00Z</dcterms:created>
  <dcterms:modified xsi:type="dcterms:W3CDTF">2021-04-29T21:15:00Z</dcterms:modified>
</cp:coreProperties>
</file>