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F4CB" w14:textId="77777777" w:rsidR="00C75905" w:rsidRPr="00FB2374" w:rsidRDefault="00C75905" w:rsidP="00C75905">
      <w:pPr>
        <w:spacing w:after="0"/>
        <w:jc w:val="center"/>
        <w:rPr>
          <w:b/>
          <w:bCs/>
          <w:sz w:val="28"/>
          <w:szCs w:val="28"/>
        </w:rPr>
      </w:pPr>
    </w:p>
    <w:p w14:paraId="1BC8C6B9" w14:textId="6912085F" w:rsidR="003757F1" w:rsidRPr="003757F1" w:rsidRDefault="003757F1" w:rsidP="00EF38A0">
      <w:pPr>
        <w:spacing w:after="0"/>
        <w:ind w:left="1440" w:hanging="1440"/>
        <w:jc w:val="both"/>
        <w:rPr>
          <w:sz w:val="24"/>
          <w:szCs w:val="24"/>
        </w:rPr>
      </w:pPr>
      <w:r w:rsidRPr="003757F1">
        <w:rPr>
          <w:b/>
          <w:bCs/>
          <w:sz w:val="24"/>
          <w:szCs w:val="24"/>
        </w:rPr>
        <w:t>Policy:</w:t>
      </w:r>
      <w:r w:rsidRPr="003757F1">
        <w:rPr>
          <w:b/>
          <w:bCs/>
          <w:sz w:val="24"/>
          <w:szCs w:val="24"/>
        </w:rPr>
        <w:tab/>
      </w:r>
      <w:r w:rsidR="000F3CF9">
        <w:rPr>
          <w:sz w:val="24"/>
          <w:szCs w:val="24"/>
        </w:rPr>
        <w:t>It is the policy of [</w:t>
      </w:r>
      <w:r w:rsidR="000F3CF9" w:rsidRPr="00DA274A">
        <w:rPr>
          <w:color w:val="FF0000"/>
          <w:sz w:val="24"/>
          <w:szCs w:val="24"/>
        </w:rPr>
        <w:t>Organization name here</w:t>
      </w:r>
      <w:r w:rsidR="000F3CF9">
        <w:rPr>
          <w:sz w:val="24"/>
          <w:szCs w:val="24"/>
        </w:rPr>
        <w:t>] to ensure t</w:t>
      </w:r>
      <w:r w:rsidRPr="003757F1">
        <w:rPr>
          <w:sz w:val="24"/>
          <w:szCs w:val="24"/>
        </w:rPr>
        <w:t>elehealth technolog</w:t>
      </w:r>
      <w:r w:rsidR="000F3CF9">
        <w:rPr>
          <w:sz w:val="24"/>
          <w:szCs w:val="24"/>
        </w:rPr>
        <w:t>y</w:t>
      </w:r>
      <w:r w:rsidRPr="003757F1">
        <w:rPr>
          <w:sz w:val="24"/>
          <w:szCs w:val="24"/>
        </w:rPr>
        <w:t xml:space="preserve"> provide</w:t>
      </w:r>
      <w:r w:rsidR="004A3C0D">
        <w:rPr>
          <w:sz w:val="24"/>
          <w:szCs w:val="24"/>
        </w:rPr>
        <w:t>s</w:t>
      </w:r>
      <w:r w:rsidR="00B80D65">
        <w:rPr>
          <w:sz w:val="24"/>
          <w:szCs w:val="24"/>
        </w:rPr>
        <w:t xml:space="preserve"> safe and quality</w:t>
      </w:r>
      <w:r w:rsidRPr="003757F1">
        <w:rPr>
          <w:sz w:val="24"/>
          <w:szCs w:val="24"/>
        </w:rPr>
        <w:t xml:space="preserve"> health care services to qualified beneficiaries in a HIPAA-compliant environment. </w:t>
      </w:r>
    </w:p>
    <w:p w14:paraId="007C750D" w14:textId="77777777" w:rsidR="003757F1" w:rsidRPr="003757F1" w:rsidRDefault="003757F1" w:rsidP="00EF38A0">
      <w:pPr>
        <w:spacing w:after="0"/>
        <w:ind w:left="1440" w:hanging="1440"/>
        <w:jc w:val="both"/>
        <w:rPr>
          <w:b/>
          <w:bCs/>
          <w:sz w:val="24"/>
          <w:szCs w:val="24"/>
        </w:rPr>
      </w:pPr>
    </w:p>
    <w:p w14:paraId="41A333C0" w14:textId="22655A0B" w:rsidR="003757F1" w:rsidRPr="003757F1" w:rsidRDefault="003757F1" w:rsidP="00EF38A0">
      <w:pPr>
        <w:spacing w:after="0"/>
        <w:ind w:left="1440" w:hanging="1440"/>
        <w:jc w:val="both"/>
        <w:rPr>
          <w:sz w:val="24"/>
          <w:szCs w:val="24"/>
        </w:rPr>
      </w:pPr>
      <w:r w:rsidRPr="003757F1">
        <w:rPr>
          <w:b/>
          <w:bCs/>
          <w:sz w:val="24"/>
          <w:szCs w:val="24"/>
        </w:rPr>
        <w:t>Purpose:</w:t>
      </w:r>
      <w:r w:rsidRPr="003757F1">
        <w:rPr>
          <w:b/>
          <w:bCs/>
          <w:sz w:val="24"/>
          <w:szCs w:val="24"/>
        </w:rPr>
        <w:tab/>
      </w:r>
      <w:r w:rsidRPr="003757F1">
        <w:rPr>
          <w:sz w:val="24"/>
          <w:szCs w:val="24"/>
        </w:rPr>
        <w:t xml:space="preserve">To explain the technology and HIPAA requirements for the provision of telehealth services, from a Medicare Rules and Regulations perspective. </w:t>
      </w:r>
    </w:p>
    <w:p w14:paraId="2D051B8A" w14:textId="77777777" w:rsidR="003757F1" w:rsidRPr="003757F1" w:rsidRDefault="003757F1" w:rsidP="00DA274A">
      <w:pPr>
        <w:spacing w:after="0"/>
        <w:jc w:val="both"/>
        <w:rPr>
          <w:b/>
          <w:bCs/>
          <w:sz w:val="24"/>
          <w:szCs w:val="24"/>
        </w:rPr>
      </w:pPr>
    </w:p>
    <w:p w14:paraId="37FE4F1B" w14:textId="2D581152" w:rsidR="003757F1" w:rsidRPr="003757F1" w:rsidRDefault="00DA274A" w:rsidP="00DA274A">
      <w:pPr>
        <w:spacing w:after="24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F6728BB" wp14:editId="041AE2D4">
                <wp:simplePos x="0" y="0"/>
                <wp:positionH relativeFrom="column">
                  <wp:posOffset>-57150</wp:posOffset>
                </wp:positionH>
                <wp:positionV relativeFrom="paragraph">
                  <wp:posOffset>902335</wp:posOffset>
                </wp:positionV>
                <wp:extent cx="6057900" cy="3429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057900" cy="34290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1D5A" id="Rectangle 1" o:spid="_x0000_s1026" style="position:absolute;margin-left:-4.5pt;margin-top:71.05pt;width:477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" filled="f" strokecolor="#7f7f7f"/>
            </w:pict>
          </mc:Fallback>
        </mc:AlternateContent>
      </w:r>
      <w:r w:rsidR="003757F1" w:rsidRPr="003757F1">
        <w:rPr>
          <w:b/>
          <w:bCs/>
          <w:sz w:val="24"/>
          <w:szCs w:val="24"/>
        </w:rPr>
        <w:t xml:space="preserve">Scope: </w:t>
      </w:r>
      <w:r w:rsidR="003757F1" w:rsidRPr="003757F1">
        <w:rPr>
          <w:b/>
          <w:bCs/>
          <w:sz w:val="24"/>
          <w:szCs w:val="24"/>
        </w:rPr>
        <w:tab/>
      </w:r>
      <w:r w:rsidR="003757F1" w:rsidRPr="003757F1">
        <w:rPr>
          <w:sz w:val="24"/>
          <w:szCs w:val="24"/>
        </w:rPr>
        <w:t xml:space="preserve">This document is applicable for </w:t>
      </w:r>
      <w:r w:rsidR="00A53C9F">
        <w:rPr>
          <w:sz w:val="24"/>
          <w:szCs w:val="24"/>
        </w:rPr>
        <w:t>rural health clinics and federally qualified health centers (RHC/FQHC)</w:t>
      </w:r>
      <w:r w:rsidR="003757F1" w:rsidRPr="003757F1">
        <w:rPr>
          <w:sz w:val="24"/>
          <w:szCs w:val="24"/>
        </w:rPr>
        <w:t>, in accordance with the rules and regulations of the Centers for Medicare &amp; Medicaid Services (CMS)</w:t>
      </w:r>
      <w:r w:rsidR="00BA5ABF">
        <w:rPr>
          <w:sz w:val="24"/>
          <w:szCs w:val="24"/>
        </w:rPr>
        <w:t xml:space="preserve">. </w:t>
      </w:r>
      <w:r w:rsidR="00B240F5">
        <w:rPr>
          <w:sz w:val="24"/>
          <w:szCs w:val="24"/>
        </w:rPr>
        <w:t>Each organization should check their state regulations for further requirements</w:t>
      </w:r>
      <w:r w:rsidR="004D3AEB">
        <w:rPr>
          <w:sz w:val="24"/>
          <w:szCs w:val="24"/>
        </w:rPr>
        <w:t xml:space="preserve"> and opportunities</w:t>
      </w:r>
      <w:r w:rsidR="00B240F5">
        <w:rPr>
          <w:sz w:val="24"/>
          <w:szCs w:val="24"/>
        </w:rPr>
        <w:t>.</w:t>
      </w:r>
      <w:r w:rsidRPr="00DA274A">
        <w:rPr>
          <w:noProof/>
          <w:sz w:val="24"/>
          <w:szCs w:val="24"/>
        </w:rPr>
        <w:t xml:space="preserve"> </w:t>
      </w:r>
    </w:p>
    <w:p w14:paraId="480FDA4C" w14:textId="77777777" w:rsidR="00B91081" w:rsidRDefault="00B91081" w:rsidP="00B91081">
      <w:pPr>
        <w:shd w:val="clear" w:color="auto" w:fill="E7E6E6" w:themeFill="background2"/>
        <w:ind w:left="810" w:hanging="810"/>
        <w:jc w:val="center"/>
        <w:rPr>
          <w:rFonts w:cs="FZIHOM+Calibri"/>
          <w:i/>
          <w:iCs/>
          <w:color w:val="000000"/>
          <w:sz w:val="24"/>
          <w:szCs w:val="24"/>
          <w:shd w:val="clear" w:color="auto" w:fill="D9D9D9" w:themeFill="background1" w:themeFillShade="D9"/>
        </w:rPr>
      </w:pPr>
      <w:r w:rsidRPr="00FB2374">
        <w:rPr>
          <w:rFonts w:cs="FZIHOM+Calibri"/>
          <w:i/>
          <w:iCs/>
          <w:color w:val="000000"/>
          <w:sz w:val="24"/>
          <w:szCs w:val="24"/>
          <w:shd w:val="clear" w:color="auto" w:fill="D9D9D9" w:themeFill="background1" w:themeFillShade="D9"/>
        </w:rPr>
        <w:t>Temporary P</w:t>
      </w:r>
      <w:r>
        <w:rPr>
          <w:rFonts w:cs="FZIHOM+Calibri"/>
          <w:i/>
          <w:iCs/>
          <w:color w:val="000000"/>
          <w:sz w:val="24"/>
          <w:szCs w:val="24"/>
          <w:shd w:val="clear" w:color="auto" w:fill="D9D9D9" w:themeFill="background1" w:themeFillShade="D9"/>
        </w:rPr>
        <w:t>HE</w:t>
      </w:r>
      <w:r w:rsidRPr="00FB2374">
        <w:rPr>
          <w:rFonts w:cs="FZIHOM+Calibri"/>
          <w:i/>
          <w:iCs/>
          <w:color w:val="000000"/>
          <w:sz w:val="24"/>
          <w:szCs w:val="24"/>
          <w:shd w:val="clear" w:color="auto" w:fill="D9D9D9" w:themeFill="background1" w:themeFillShade="D9"/>
        </w:rPr>
        <w:t xml:space="preserve"> Guidance</w:t>
      </w:r>
      <w:r>
        <w:rPr>
          <w:rFonts w:cs="FZIHOM+Calibri"/>
          <w:i/>
          <w:iCs/>
          <w:color w:val="000000"/>
          <w:sz w:val="24"/>
          <w:szCs w:val="24"/>
          <w:shd w:val="clear" w:color="auto" w:fill="D9D9D9" w:themeFill="background1" w:themeFillShade="D9"/>
        </w:rPr>
        <w:t>*</w:t>
      </w:r>
    </w:p>
    <w:p w14:paraId="171657A4" w14:textId="77777777" w:rsidR="009903A9" w:rsidRDefault="00B91081" w:rsidP="00D9517B">
      <w:pPr>
        <w:shd w:val="clear" w:color="auto" w:fill="E7E6E6" w:themeFill="background2"/>
        <w:spacing w:after="0"/>
        <w:jc w:val="both"/>
        <w:rPr>
          <w:i/>
          <w:iCs/>
          <w:sz w:val="24"/>
          <w:szCs w:val="24"/>
        </w:rPr>
      </w:pPr>
      <w:r>
        <w:rPr>
          <w:rFonts w:cs="FZIHOM+Calibri"/>
          <w:i/>
          <w:iCs/>
          <w:color w:val="000000"/>
          <w:sz w:val="24"/>
          <w:szCs w:val="24"/>
        </w:rPr>
        <w:t xml:space="preserve"> </w:t>
      </w:r>
      <w:r w:rsidR="009903A9">
        <w:rPr>
          <w:rFonts w:cs="FZIHOM+Calibri"/>
          <w:i/>
          <w:iCs/>
          <w:color w:val="000000"/>
          <w:sz w:val="24"/>
          <w:szCs w:val="24"/>
        </w:rPr>
        <w:t>“</w:t>
      </w:r>
      <w:r w:rsidR="009903A9" w:rsidRPr="0030741D">
        <w:rPr>
          <w:i/>
          <w:iCs/>
          <w:sz w:val="24"/>
          <w:szCs w:val="24"/>
        </w:rPr>
        <w:t>Payment for Medicare Telehealth Services: Section 3704 of the CARES Act authorizes RHCs and FQHCs to furnish distant site telehealth services to Medicare beneficiaries during the COVID-19 PHE.</w:t>
      </w:r>
      <w:r w:rsidR="009903A9">
        <w:rPr>
          <w:i/>
          <w:iCs/>
          <w:sz w:val="24"/>
          <w:szCs w:val="24"/>
        </w:rPr>
        <w:t>”</w:t>
      </w:r>
    </w:p>
    <w:p w14:paraId="4F2CF130" w14:textId="77777777" w:rsidR="009903A9" w:rsidRDefault="009903A9" w:rsidP="00D9517B">
      <w:pPr>
        <w:shd w:val="clear" w:color="auto" w:fill="E7E6E6" w:themeFill="background2"/>
        <w:spacing w:after="0"/>
        <w:jc w:val="both"/>
        <w:rPr>
          <w:i/>
          <w:iCs/>
          <w:sz w:val="24"/>
          <w:szCs w:val="24"/>
        </w:rPr>
      </w:pPr>
    </w:p>
    <w:p w14:paraId="0A2DAAA3" w14:textId="77777777" w:rsidR="009903A9" w:rsidRDefault="009903A9" w:rsidP="00D9517B">
      <w:pPr>
        <w:shd w:val="clear" w:color="auto" w:fill="E7E6E6" w:themeFill="background2"/>
        <w:spacing w:after="0"/>
        <w:jc w:val="both"/>
        <w:rPr>
          <w:i/>
          <w:iCs/>
          <w:sz w:val="24"/>
          <w:szCs w:val="24"/>
        </w:rPr>
      </w:pPr>
      <w:r>
        <w:rPr>
          <w:i/>
          <w:iCs/>
          <w:sz w:val="24"/>
          <w:szCs w:val="24"/>
        </w:rPr>
        <w:t>“</w:t>
      </w:r>
      <w:r w:rsidRPr="0030741D">
        <w:rPr>
          <w:i/>
          <w:iCs/>
          <w:sz w:val="24"/>
          <w:szCs w:val="24"/>
        </w:rPr>
        <w:t>Medicare telehealth services generally require an interactive audio and video telecommunications system that permits real-time communication between the practitioner and the patient</w:t>
      </w:r>
      <w:r>
        <w:rPr>
          <w:i/>
          <w:iCs/>
          <w:sz w:val="24"/>
          <w:szCs w:val="24"/>
        </w:rPr>
        <w:t>. (</w:t>
      </w:r>
      <w:r w:rsidRPr="0030741D">
        <w:rPr>
          <w:i/>
          <w:iCs/>
          <w:sz w:val="24"/>
          <w:szCs w:val="24"/>
        </w:rPr>
        <w:t>During the PHE, some telehealth services can be furnished using audio-only technology</w:t>
      </w:r>
      <w:r>
        <w:rPr>
          <w:i/>
          <w:iCs/>
          <w:sz w:val="24"/>
          <w:szCs w:val="24"/>
        </w:rPr>
        <w:t>.</w:t>
      </w:r>
      <w:r>
        <w:t xml:space="preserve">). </w:t>
      </w:r>
      <w:r w:rsidRPr="0030741D">
        <w:rPr>
          <w:i/>
          <w:iCs/>
          <w:sz w:val="24"/>
          <w:szCs w:val="24"/>
        </w:rPr>
        <w:t xml:space="preserve">RHCs and FQHCs with </w:t>
      </w:r>
      <w:r>
        <w:rPr>
          <w:i/>
          <w:iCs/>
          <w:sz w:val="24"/>
          <w:szCs w:val="24"/>
        </w:rPr>
        <w:t xml:space="preserve">this </w:t>
      </w:r>
      <w:r w:rsidRPr="0030741D">
        <w:rPr>
          <w:i/>
          <w:iCs/>
          <w:sz w:val="24"/>
          <w:szCs w:val="24"/>
        </w:rPr>
        <w:t xml:space="preserve">capability </w:t>
      </w:r>
      <w:r>
        <w:rPr>
          <w:i/>
          <w:iCs/>
          <w:sz w:val="24"/>
          <w:szCs w:val="24"/>
        </w:rPr>
        <w:t>“</w:t>
      </w:r>
      <w:r w:rsidRPr="0030741D">
        <w:rPr>
          <w:i/>
          <w:iCs/>
          <w:sz w:val="24"/>
          <w:szCs w:val="24"/>
        </w:rPr>
        <w:t>can provide and be paid for telehealth services furnished to Medicare patients located at any site, including the patient’s home, for the duration of the COVID-19 PHE.</w:t>
      </w:r>
      <w:r>
        <w:rPr>
          <w:i/>
          <w:iCs/>
          <w:sz w:val="24"/>
          <w:szCs w:val="24"/>
        </w:rPr>
        <w:t>”</w:t>
      </w:r>
    </w:p>
    <w:p w14:paraId="14F7EDC8" w14:textId="77777777" w:rsidR="009903A9" w:rsidRDefault="009903A9" w:rsidP="00D9517B">
      <w:pPr>
        <w:shd w:val="clear" w:color="auto" w:fill="E7E6E6" w:themeFill="background2"/>
        <w:spacing w:after="0"/>
        <w:jc w:val="both"/>
        <w:rPr>
          <w:i/>
          <w:iCs/>
          <w:sz w:val="24"/>
          <w:szCs w:val="24"/>
        </w:rPr>
      </w:pPr>
    </w:p>
    <w:p w14:paraId="0669DED6" w14:textId="77777777" w:rsidR="009903A9" w:rsidRDefault="009903A9" w:rsidP="00D9517B">
      <w:pPr>
        <w:shd w:val="clear" w:color="auto" w:fill="E7E6E6" w:themeFill="background2"/>
        <w:spacing w:after="0"/>
        <w:jc w:val="both"/>
        <w:rPr>
          <w:i/>
          <w:iCs/>
          <w:sz w:val="24"/>
          <w:szCs w:val="24"/>
        </w:rPr>
      </w:pPr>
      <w:r>
        <w:rPr>
          <w:i/>
          <w:iCs/>
          <w:sz w:val="24"/>
          <w:szCs w:val="24"/>
        </w:rPr>
        <w:t xml:space="preserve">For further reading: </w:t>
      </w:r>
      <w:hyperlink r:id="rId7" w:history="1">
        <w:r w:rsidRPr="005F1FDD">
          <w:rPr>
            <w:rStyle w:val="Hyperlink"/>
            <w:i/>
            <w:iCs/>
            <w:sz w:val="24"/>
            <w:szCs w:val="24"/>
          </w:rPr>
          <w:t>https://www.cms.gov/files/document/covid-rural-health-clinics.pdf</w:t>
        </w:r>
      </w:hyperlink>
      <w:r>
        <w:rPr>
          <w:i/>
          <w:iCs/>
          <w:sz w:val="24"/>
          <w:szCs w:val="24"/>
        </w:rPr>
        <w:t xml:space="preserve"> </w:t>
      </w:r>
    </w:p>
    <w:p w14:paraId="26966EAB" w14:textId="77777777" w:rsidR="009903A9" w:rsidRDefault="009903A9" w:rsidP="00D9517B">
      <w:pPr>
        <w:shd w:val="clear" w:color="auto" w:fill="E7E6E6" w:themeFill="background2"/>
        <w:spacing w:after="0"/>
        <w:jc w:val="both"/>
        <w:rPr>
          <w:i/>
          <w:iCs/>
          <w:sz w:val="24"/>
          <w:szCs w:val="24"/>
        </w:rPr>
      </w:pPr>
    </w:p>
    <w:p w14:paraId="74204F10" w14:textId="77777777" w:rsidR="009903A9" w:rsidRDefault="009903A9" w:rsidP="00D9517B">
      <w:pPr>
        <w:shd w:val="clear" w:color="auto" w:fill="E7E6E6" w:themeFill="background2"/>
        <w:spacing w:after="0"/>
        <w:jc w:val="both"/>
        <w:rPr>
          <w:i/>
          <w:iCs/>
          <w:sz w:val="24"/>
          <w:szCs w:val="24"/>
        </w:rPr>
      </w:pPr>
      <w:r>
        <w:rPr>
          <w:i/>
          <w:iCs/>
          <w:sz w:val="24"/>
          <w:szCs w:val="24"/>
        </w:rPr>
        <w:t xml:space="preserve">For further reading: </w:t>
      </w:r>
      <w:hyperlink r:id="rId8" w:history="1">
        <w:r w:rsidRPr="00EB41D9">
          <w:rPr>
            <w:rStyle w:val="Hyperlink"/>
            <w:i/>
            <w:iCs/>
            <w:sz w:val="24"/>
            <w:szCs w:val="24"/>
          </w:rPr>
          <w:t>https://www.cms.gov/files/document/omh-rural-crosswalk.pdf</w:t>
        </w:r>
      </w:hyperlink>
      <w:r>
        <w:rPr>
          <w:i/>
          <w:iCs/>
          <w:sz w:val="24"/>
          <w:szCs w:val="24"/>
        </w:rPr>
        <w:t xml:space="preserve"> </w:t>
      </w:r>
    </w:p>
    <w:p w14:paraId="78225A2F" w14:textId="16861AD1" w:rsidR="00B91081" w:rsidRPr="007D039F" w:rsidRDefault="00B91081" w:rsidP="00D9517B">
      <w:pPr>
        <w:shd w:val="clear" w:color="auto" w:fill="E7E6E6" w:themeFill="background2"/>
        <w:spacing w:after="0"/>
        <w:jc w:val="both"/>
        <w:rPr>
          <w:rFonts w:cs="FZIHOM+Calibri"/>
          <w:i/>
          <w:iCs/>
          <w:color w:val="000000"/>
          <w:sz w:val="24"/>
          <w:szCs w:val="24"/>
        </w:rPr>
      </w:pPr>
    </w:p>
    <w:p w14:paraId="644B39F5" w14:textId="77777777" w:rsidR="00B91081" w:rsidRPr="00DA274A" w:rsidRDefault="00B91081" w:rsidP="00EF38A0">
      <w:pPr>
        <w:spacing w:after="0"/>
        <w:rPr>
          <w:b/>
          <w:bCs/>
          <w:sz w:val="20"/>
          <w:szCs w:val="20"/>
        </w:rPr>
      </w:pPr>
    </w:p>
    <w:p w14:paraId="06AF14B7" w14:textId="4C052466" w:rsidR="00DA274A" w:rsidRDefault="00DA274A" w:rsidP="00EF38A0">
      <w:pPr>
        <w:spacing w:after="0"/>
      </w:pPr>
      <w:r>
        <w:t>*Temporary guidance related to Public Health Emergency (PHE)</w:t>
      </w:r>
    </w:p>
    <w:p w14:paraId="7C5240C8" w14:textId="77777777" w:rsidR="00DA274A" w:rsidRDefault="00DA274A" w:rsidP="00EF38A0">
      <w:pPr>
        <w:spacing w:after="0"/>
        <w:rPr>
          <w:b/>
          <w:bCs/>
          <w:sz w:val="24"/>
          <w:szCs w:val="24"/>
        </w:rPr>
      </w:pPr>
    </w:p>
    <w:p w14:paraId="0F26A60C" w14:textId="6E246E79" w:rsidR="003757F1" w:rsidRPr="003757F1" w:rsidRDefault="003757F1" w:rsidP="00EF38A0">
      <w:pPr>
        <w:spacing w:after="0"/>
        <w:rPr>
          <w:b/>
          <w:bCs/>
          <w:sz w:val="24"/>
          <w:szCs w:val="24"/>
        </w:rPr>
      </w:pPr>
      <w:r w:rsidRPr="003757F1">
        <w:rPr>
          <w:b/>
          <w:bCs/>
          <w:sz w:val="24"/>
          <w:szCs w:val="24"/>
        </w:rPr>
        <w:t>Procedures:</w:t>
      </w:r>
    </w:p>
    <w:p w14:paraId="558D00BD" w14:textId="64412B76" w:rsidR="003757F1" w:rsidRDefault="003757F1" w:rsidP="00EF38A0">
      <w:pPr>
        <w:spacing w:after="0"/>
        <w:jc w:val="both"/>
        <w:rPr>
          <w:b/>
          <w:bCs/>
          <w:sz w:val="24"/>
          <w:szCs w:val="24"/>
        </w:rPr>
      </w:pPr>
    </w:p>
    <w:p w14:paraId="5EC87B9D" w14:textId="4CA47B5F" w:rsidR="00F202F7" w:rsidRDefault="007A4B0F" w:rsidP="00DA274A">
      <w:pPr>
        <w:pStyle w:val="ListParagraph"/>
        <w:numPr>
          <w:ilvl w:val="0"/>
          <w:numId w:val="2"/>
        </w:numPr>
        <w:spacing w:after="0"/>
        <w:ind w:left="720" w:hanging="360"/>
        <w:jc w:val="both"/>
        <w:rPr>
          <w:b/>
          <w:bCs/>
          <w:sz w:val="24"/>
          <w:szCs w:val="24"/>
        </w:rPr>
      </w:pPr>
      <w:r>
        <w:rPr>
          <w:b/>
          <w:bCs/>
          <w:sz w:val="24"/>
          <w:szCs w:val="24"/>
        </w:rPr>
        <w:t>Population and Services</w:t>
      </w:r>
      <w:r w:rsidR="00564898">
        <w:rPr>
          <w:b/>
          <w:bCs/>
          <w:sz w:val="24"/>
          <w:szCs w:val="24"/>
        </w:rPr>
        <w:t xml:space="preserve"> for a Virtual-Type Visit.</w:t>
      </w:r>
    </w:p>
    <w:p w14:paraId="098B2FED" w14:textId="700F6E66" w:rsidR="00ED4472" w:rsidRPr="00ED4472" w:rsidRDefault="00564898" w:rsidP="00DA274A">
      <w:pPr>
        <w:pStyle w:val="ListParagraph"/>
        <w:numPr>
          <w:ilvl w:val="0"/>
          <w:numId w:val="6"/>
        </w:numPr>
        <w:spacing w:after="0"/>
        <w:ind w:left="1440"/>
        <w:jc w:val="both"/>
        <w:rPr>
          <w:b/>
          <w:bCs/>
          <w:sz w:val="24"/>
          <w:szCs w:val="24"/>
        </w:rPr>
      </w:pPr>
      <w:r>
        <w:rPr>
          <w:sz w:val="24"/>
          <w:szCs w:val="24"/>
        </w:rPr>
        <w:t>Perform a m</w:t>
      </w:r>
      <w:r w:rsidR="00ED4472">
        <w:rPr>
          <w:sz w:val="24"/>
          <w:szCs w:val="24"/>
        </w:rPr>
        <w:t>arket review</w:t>
      </w:r>
      <w:r>
        <w:rPr>
          <w:sz w:val="24"/>
          <w:szCs w:val="24"/>
        </w:rPr>
        <w:t xml:space="preserve"> for telehealth services</w:t>
      </w:r>
      <w:r w:rsidR="00ED4472">
        <w:rPr>
          <w:sz w:val="24"/>
          <w:szCs w:val="24"/>
        </w:rPr>
        <w:t>.</w:t>
      </w:r>
    </w:p>
    <w:p w14:paraId="0EC30331" w14:textId="0291E870" w:rsidR="006B72FA" w:rsidRPr="00336A0C" w:rsidRDefault="006B72FA" w:rsidP="00DA274A">
      <w:pPr>
        <w:pStyle w:val="ListParagraph"/>
        <w:numPr>
          <w:ilvl w:val="0"/>
          <w:numId w:val="30"/>
        </w:numPr>
        <w:spacing w:after="0"/>
        <w:ind w:left="2160"/>
        <w:jc w:val="both"/>
        <w:rPr>
          <w:b/>
          <w:bCs/>
          <w:sz w:val="24"/>
          <w:szCs w:val="24"/>
        </w:rPr>
      </w:pPr>
      <w:r w:rsidRPr="00336A0C">
        <w:rPr>
          <w:sz w:val="24"/>
          <w:szCs w:val="24"/>
        </w:rPr>
        <w:t>Identify</w:t>
      </w:r>
      <w:r w:rsidR="00564898">
        <w:rPr>
          <w:sz w:val="24"/>
          <w:szCs w:val="24"/>
        </w:rPr>
        <w:t xml:space="preserve"> the</w:t>
      </w:r>
      <w:r w:rsidRPr="00336A0C">
        <w:rPr>
          <w:sz w:val="24"/>
          <w:szCs w:val="24"/>
        </w:rPr>
        <w:t xml:space="preserve"> </w:t>
      </w:r>
      <w:r w:rsidR="00ED4472">
        <w:rPr>
          <w:sz w:val="24"/>
          <w:szCs w:val="24"/>
        </w:rPr>
        <w:t xml:space="preserve">patient </w:t>
      </w:r>
      <w:r w:rsidRPr="00336A0C">
        <w:rPr>
          <w:sz w:val="24"/>
          <w:szCs w:val="24"/>
        </w:rPr>
        <w:t xml:space="preserve">population </w:t>
      </w:r>
      <w:r w:rsidR="00564898">
        <w:rPr>
          <w:sz w:val="24"/>
          <w:szCs w:val="24"/>
        </w:rPr>
        <w:t xml:space="preserve">to be </w:t>
      </w:r>
      <w:r w:rsidRPr="00336A0C">
        <w:rPr>
          <w:sz w:val="24"/>
          <w:szCs w:val="24"/>
        </w:rPr>
        <w:t>served (size, demographics)</w:t>
      </w:r>
      <w:r>
        <w:rPr>
          <w:sz w:val="24"/>
          <w:szCs w:val="24"/>
        </w:rPr>
        <w:t>.</w:t>
      </w:r>
      <w:r w:rsidRPr="00336A0C">
        <w:rPr>
          <w:sz w:val="24"/>
          <w:szCs w:val="24"/>
        </w:rPr>
        <w:t xml:space="preserve"> </w:t>
      </w:r>
    </w:p>
    <w:p w14:paraId="66511953" w14:textId="4EAC0484" w:rsidR="00377438" w:rsidRPr="006F04FE" w:rsidRDefault="00377438" w:rsidP="00DA274A">
      <w:pPr>
        <w:pStyle w:val="ListParagraph"/>
        <w:numPr>
          <w:ilvl w:val="0"/>
          <w:numId w:val="30"/>
        </w:numPr>
        <w:spacing w:after="0"/>
        <w:ind w:left="2160"/>
        <w:jc w:val="both"/>
        <w:rPr>
          <w:b/>
          <w:bCs/>
          <w:sz w:val="24"/>
          <w:szCs w:val="24"/>
        </w:rPr>
      </w:pPr>
      <w:r>
        <w:rPr>
          <w:sz w:val="24"/>
          <w:szCs w:val="24"/>
        </w:rPr>
        <w:lastRenderedPageBreak/>
        <w:t xml:space="preserve">Survey stakeholders (both clinical and nonclinical) for input to identify </w:t>
      </w:r>
      <w:r w:rsidR="00564898">
        <w:rPr>
          <w:sz w:val="24"/>
          <w:szCs w:val="24"/>
        </w:rPr>
        <w:t xml:space="preserve">the </w:t>
      </w:r>
      <w:r>
        <w:rPr>
          <w:sz w:val="24"/>
          <w:szCs w:val="24"/>
        </w:rPr>
        <w:t>functionality needs of current and future services provided.</w:t>
      </w:r>
    </w:p>
    <w:p w14:paraId="0EDFD4D0" w14:textId="6F84B886" w:rsidR="00FD1F2B" w:rsidRPr="00DA274A" w:rsidRDefault="00564898" w:rsidP="00DA274A">
      <w:pPr>
        <w:pStyle w:val="ListParagraph"/>
        <w:numPr>
          <w:ilvl w:val="0"/>
          <w:numId w:val="6"/>
        </w:numPr>
        <w:ind w:left="1440"/>
        <w:jc w:val="both"/>
        <w:rPr>
          <w:sz w:val="24"/>
          <w:szCs w:val="24"/>
        </w:rPr>
      </w:pPr>
      <w:r>
        <w:rPr>
          <w:sz w:val="24"/>
          <w:szCs w:val="24"/>
        </w:rPr>
        <w:t>Identify the t</w:t>
      </w:r>
      <w:r w:rsidR="00F202F7" w:rsidRPr="00ED4472">
        <w:rPr>
          <w:sz w:val="24"/>
          <w:szCs w:val="24"/>
        </w:rPr>
        <w:t>echnology requirements</w:t>
      </w:r>
      <w:r w:rsidR="00377438">
        <w:rPr>
          <w:sz w:val="24"/>
          <w:szCs w:val="24"/>
        </w:rPr>
        <w:t xml:space="preserve"> for the provider</w:t>
      </w:r>
      <w:r w:rsidR="00CB7F2F">
        <w:rPr>
          <w:sz w:val="24"/>
          <w:szCs w:val="24"/>
        </w:rPr>
        <w:t>, clinic, and staff.</w:t>
      </w:r>
    </w:p>
    <w:p w14:paraId="410CAC19" w14:textId="1EFEFE87" w:rsidR="00F202F7" w:rsidRDefault="0096520D" w:rsidP="00DA274A">
      <w:pPr>
        <w:pStyle w:val="ListParagraph"/>
        <w:numPr>
          <w:ilvl w:val="0"/>
          <w:numId w:val="4"/>
        </w:numPr>
        <w:tabs>
          <w:tab w:val="left" w:pos="810"/>
        </w:tabs>
        <w:ind w:left="2160"/>
        <w:jc w:val="both"/>
        <w:rPr>
          <w:sz w:val="24"/>
          <w:szCs w:val="24"/>
        </w:rPr>
      </w:pPr>
      <w:r>
        <w:rPr>
          <w:sz w:val="24"/>
          <w:szCs w:val="24"/>
        </w:rPr>
        <w:t xml:space="preserve">A </w:t>
      </w:r>
      <w:r w:rsidR="00F202F7" w:rsidRPr="00EF38A0">
        <w:rPr>
          <w:sz w:val="24"/>
          <w:szCs w:val="24"/>
        </w:rPr>
        <w:t>reliable, secure internet connection</w:t>
      </w:r>
      <w:r w:rsidR="00564898">
        <w:rPr>
          <w:sz w:val="24"/>
          <w:szCs w:val="24"/>
        </w:rPr>
        <w:t xml:space="preserve"> is needed</w:t>
      </w:r>
      <w:r w:rsidR="00F202F7" w:rsidRPr="00EF38A0">
        <w:rPr>
          <w:sz w:val="24"/>
          <w:szCs w:val="24"/>
        </w:rPr>
        <w:t xml:space="preserve"> to ensure quality care</w:t>
      </w:r>
      <w:r w:rsidR="00E85455">
        <w:rPr>
          <w:sz w:val="24"/>
          <w:szCs w:val="24"/>
        </w:rPr>
        <w:t>,</w:t>
      </w:r>
      <w:r w:rsidR="00F202F7" w:rsidRPr="00EF38A0">
        <w:rPr>
          <w:sz w:val="24"/>
          <w:szCs w:val="24"/>
        </w:rPr>
        <w:t xml:space="preserve"> patient safety</w:t>
      </w:r>
      <w:r w:rsidR="00E85455">
        <w:rPr>
          <w:sz w:val="24"/>
          <w:szCs w:val="24"/>
        </w:rPr>
        <w:t>, and information security compliance</w:t>
      </w:r>
      <w:r w:rsidR="00F202F7" w:rsidRPr="00EF38A0">
        <w:rPr>
          <w:sz w:val="24"/>
          <w:szCs w:val="24"/>
        </w:rPr>
        <w:t xml:space="preserve">. </w:t>
      </w:r>
    </w:p>
    <w:p w14:paraId="6D57FDEC" w14:textId="4DBC6734" w:rsidR="00040403" w:rsidRPr="00FD1F2B" w:rsidRDefault="00F202F7" w:rsidP="00DA274A">
      <w:pPr>
        <w:pStyle w:val="ListParagraph"/>
        <w:numPr>
          <w:ilvl w:val="0"/>
          <w:numId w:val="4"/>
        </w:numPr>
        <w:tabs>
          <w:tab w:val="left" w:pos="810"/>
        </w:tabs>
        <w:ind w:left="2160"/>
        <w:jc w:val="both"/>
        <w:rPr>
          <w:rFonts w:cstheme="minorHAnsi"/>
          <w:sz w:val="24"/>
          <w:szCs w:val="24"/>
        </w:rPr>
      </w:pPr>
      <w:r w:rsidRPr="00EF38A0">
        <w:rPr>
          <w:rFonts w:cstheme="minorHAnsi"/>
          <w:sz w:val="24"/>
          <w:szCs w:val="24"/>
        </w:rPr>
        <w:t xml:space="preserve">An interactive audio and video telecommunications system that permits real-time communication between </w:t>
      </w:r>
      <w:r w:rsidR="00AF0609">
        <w:rPr>
          <w:rFonts w:cstheme="minorHAnsi"/>
          <w:sz w:val="24"/>
          <w:szCs w:val="24"/>
        </w:rPr>
        <w:t xml:space="preserve">the </w:t>
      </w:r>
      <w:r w:rsidRPr="00EF38A0">
        <w:rPr>
          <w:rFonts w:cstheme="minorHAnsi"/>
          <w:sz w:val="24"/>
          <w:szCs w:val="24"/>
        </w:rPr>
        <w:t xml:space="preserve">provider at the distant site, and the </w:t>
      </w:r>
      <w:r w:rsidR="00AF0609">
        <w:rPr>
          <w:rFonts w:cstheme="minorHAnsi"/>
          <w:sz w:val="24"/>
          <w:szCs w:val="24"/>
        </w:rPr>
        <w:t xml:space="preserve">patient </w:t>
      </w:r>
      <w:r w:rsidRPr="00EF38A0">
        <w:rPr>
          <w:rFonts w:cstheme="minorHAnsi"/>
          <w:sz w:val="24"/>
          <w:szCs w:val="24"/>
        </w:rPr>
        <w:t>at the originating site</w:t>
      </w:r>
      <w:r w:rsidR="00564898">
        <w:rPr>
          <w:rFonts w:cstheme="minorHAnsi"/>
          <w:sz w:val="24"/>
          <w:szCs w:val="24"/>
        </w:rPr>
        <w:t xml:space="preserve"> is required</w:t>
      </w:r>
      <w:r w:rsidRPr="00EF38A0">
        <w:rPr>
          <w:rFonts w:cstheme="minorHAnsi"/>
          <w:sz w:val="24"/>
          <w:szCs w:val="24"/>
        </w:rPr>
        <w:t>.</w:t>
      </w:r>
    </w:p>
    <w:p w14:paraId="10C2362D" w14:textId="45ED3020" w:rsidR="005B746B" w:rsidRDefault="00564898" w:rsidP="00DA274A">
      <w:pPr>
        <w:pStyle w:val="ListParagraph"/>
        <w:numPr>
          <w:ilvl w:val="0"/>
          <w:numId w:val="4"/>
        </w:numPr>
        <w:spacing w:after="0"/>
        <w:ind w:left="2160"/>
        <w:jc w:val="both"/>
        <w:rPr>
          <w:sz w:val="24"/>
          <w:szCs w:val="24"/>
        </w:rPr>
      </w:pPr>
      <w:r>
        <w:rPr>
          <w:sz w:val="24"/>
          <w:szCs w:val="24"/>
        </w:rPr>
        <w:t>Any c</w:t>
      </w:r>
      <w:r w:rsidR="005B746B">
        <w:rPr>
          <w:sz w:val="24"/>
          <w:szCs w:val="24"/>
        </w:rPr>
        <w:t xml:space="preserve">omputers/tablets/Smartphones should use passcodes and must have an adequate camera, speakers, microphone, and sufficient processor to run the required software. </w:t>
      </w:r>
    </w:p>
    <w:p w14:paraId="3FCCB626" w14:textId="2D73E3CC" w:rsidR="00731565" w:rsidRPr="005B746B" w:rsidRDefault="00564898" w:rsidP="00DA274A">
      <w:pPr>
        <w:pStyle w:val="ListParagraph"/>
        <w:numPr>
          <w:ilvl w:val="0"/>
          <w:numId w:val="4"/>
        </w:numPr>
        <w:spacing w:after="0"/>
        <w:ind w:left="2160"/>
        <w:jc w:val="both"/>
        <w:rPr>
          <w:sz w:val="24"/>
          <w:szCs w:val="24"/>
        </w:rPr>
      </w:pPr>
      <w:r>
        <w:rPr>
          <w:sz w:val="24"/>
          <w:szCs w:val="24"/>
        </w:rPr>
        <w:t>Identify the appropriate e</w:t>
      </w:r>
      <w:r w:rsidR="00731565">
        <w:rPr>
          <w:sz w:val="24"/>
          <w:szCs w:val="24"/>
        </w:rPr>
        <w:t>xamination camera and other peripherals as indicated/needed (i.e., electronic stethoscope, otoscope, etc.)</w:t>
      </w:r>
    </w:p>
    <w:p w14:paraId="28AD5AF4" w14:textId="3194DCC6" w:rsidR="00377438" w:rsidRPr="004A3C0D" w:rsidRDefault="00564898" w:rsidP="00DA274A">
      <w:pPr>
        <w:pStyle w:val="ListParagraph"/>
        <w:numPr>
          <w:ilvl w:val="0"/>
          <w:numId w:val="6"/>
        </w:numPr>
        <w:tabs>
          <w:tab w:val="left" w:pos="810"/>
        </w:tabs>
        <w:ind w:left="1440"/>
        <w:jc w:val="both"/>
        <w:rPr>
          <w:rFonts w:cstheme="minorHAnsi"/>
          <w:sz w:val="24"/>
          <w:szCs w:val="24"/>
        </w:rPr>
      </w:pPr>
      <w:r>
        <w:rPr>
          <w:rFonts w:cstheme="minorHAnsi"/>
          <w:sz w:val="24"/>
          <w:szCs w:val="24"/>
        </w:rPr>
        <w:t>Identify the t</w:t>
      </w:r>
      <w:r w:rsidR="00377438" w:rsidRPr="004A3C0D">
        <w:rPr>
          <w:rFonts w:cstheme="minorHAnsi"/>
          <w:sz w:val="24"/>
          <w:szCs w:val="24"/>
        </w:rPr>
        <w:t xml:space="preserve">echnology requirements for the patient. </w:t>
      </w:r>
    </w:p>
    <w:p w14:paraId="7BCDC38B" w14:textId="6FC792DD" w:rsidR="00377438" w:rsidRDefault="004A3C0D" w:rsidP="00DA274A">
      <w:pPr>
        <w:pStyle w:val="ListParagraph"/>
        <w:numPr>
          <w:ilvl w:val="0"/>
          <w:numId w:val="32"/>
        </w:numPr>
        <w:tabs>
          <w:tab w:val="left" w:pos="810"/>
        </w:tabs>
        <w:ind w:left="2160"/>
        <w:jc w:val="both"/>
        <w:rPr>
          <w:rFonts w:cstheme="minorHAnsi"/>
          <w:sz w:val="24"/>
          <w:szCs w:val="24"/>
        </w:rPr>
      </w:pPr>
      <w:r>
        <w:rPr>
          <w:rFonts w:cstheme="minorHAnsi"/>
          <w:sz w:val="24"/>
          <w:szCs w:val="24"/>
        </w:rPr>
        <w:t>A reliable, secure internet connection</w:t>
      </w:r>
      <w:r w:rsidR="00564898">
        <w:rPr>
          <w:rFonts w:cstheme="minorHAnsi"/>
          <w:sz w:val="24"/>
          <w:szCs w:val="24"/>
        </w:rPr>
        <w:t xml:space="preserve"> is needed</w:t>
      </w:r>
      <w:r>
        <w:rPr>
          <w:rFonts w:cstheme="minorHAnsi"/>
          <w:sz w:val="24"/>
          <w:szCs w:val="24"/>
        </w:rPr>
        <w:t>.</w:t>
      </w:r>
    </w:p>
    <w:p w14:paraId="03E38F9C" w14:textId="59A81FED" w:rsidR="004A3C0D" w:rsidRDefault="004A3C0D" w:rsidP="00DA274A">
      <w:pPr>
        <w:pStyle w:val="ListParagraph"/>
        <w:numPr>
          <w:ilvl w:val="0"/>
          <w:numId w:val="32"/>
        </w:numPr>
        <w:tabs>
          <w:tab w:val="left" w:pos="810"/>
        </w:tabs>
        <w:ind w:left="2160"/>
        <w:jc w:val="both"/>
        <w:rPr>
          <w:rFonts w:cstheme="minorHAnsi"/>
          <w:sz w:val="24"/>
          <w:szCs w:val="24"/>
        </w:rPr>
      </w:pPr>
      <w:r>
        <w:rPr>
          <w:rFonts w:cstheme="minorHAnsi"/>
          <w:sz w:val="24"/>
          <w:szCs w:val="24"/>
        </w:rPr>
        <w:t>An interactive audio and video telecommunications system that permits real-time communication between the patient at the originating site, and the provider at the distant site</w:t>
      </w:r>
      <w:r w:rsidR="00564898">
        <w:rPr>
          <w:rFonts w:cstheme="minorHAnsi"/>
          <w:sz w:val="24"/>
          <w:szCs w:val="24"/>
        </w:rPr>
        <w:t xml:space="preserve"> is required</w:t>
      </w:r>
      <w:r>
        <w:rPr>
          <w:rFonts w:cstheme="minorHAnsi"/>
          <w:sz w:val="24"/>
          <w:szCs w:val="24"/>
        </w:rPr>
        <w:t xml:space="preserve">. </w:t>
      </w:r>
    </w:p>
    <w:p w14:paraId="10AC8E9A" w14:textId="55E629B7" w:rsidR="00B91081" w:rsidRDefault="00564898" w:rsidP="00DA274A">
      <w:pPr>
        <w:pStyle w:val="ListParagraph"/>
        <w:numPr>
          <w:ilvl w:val="0"/>
          <w:numId w:val="32"/>
        </w:numPr>
        <w:tabs>
          <w:tab w:val="left" w:pos="810"/>
        </w:tabs>
        <w:ind w:left="2160"/>
        <w:jc w:val="both"/>
        <w:rPr>
          <w:rFonts w:cstheme="minorHAnsi"/>
          <w:sz w:val="24"/>
          <w:szCs w:val="24"/>
        </w:rPr>
      </w:pPr>
      <w:r>
        <w:rPr>
          <w:rFonts w:cstheme="minorHAnsi"/>
          <w:sz w:val="24"/>
          <w:szCs w:val="24"/>
        </w:rPr>
        <w:t>Any c</w:t>
      </w:r>
      <w:r w:rsidR="004A3C0D">
        <w:rPr>
          <w:rFonts w:cstheme="minorHAnsi"/>
          <w:sz w:val="24"/>
          <w:szCs w:val="24"/>
        </w:rPr>
        <w:t>omputer/tablet/Smartphone should use a passcode, and must have an adequate camera, speakers, microphone.</w:t>
      </w:r>
    </w:p>
    <w:p w14:paraId="1EA02B5F" w14:textId="77777777" w:rsidR="004A3C0D" w:rsidRPr="004A3C0D" w:rsidRDefault="004A3C0D" w:rsidP="004A3C0D">
      <w:pPr>
        <w:pStyle w:val="ListParagraph"/>
        <w:tabs>
          <w:tab w:val="left" w:pos="810"/>
        </w:tabs>
        <w:ind w:left="2160"/>
        <w:jc w:val="both"/>
        <w:rPr>
          <w:rFonts w:cstheme="minorHAnsi"/>
          <w:sz w:val="24"/>
          <w:szCs w:val="24"/>
        </w:rPr>
      </w:pPr>
    </w:p>
    <w:p w14:paraId="4D098DF6" w14:textId="578852DF" w:rsidR="00F202F7" w:rsidRDefault="00892CD4" w:rsidP="00DA274A">
      <w:pPr>
        <w:pStyle w:val="ListParagraph"/>
        <w:numPr>
          <w:ilvl w:val="0"/>
          <w:numId w:val="2"/>
        </w:numPr>
        <w:spacing w:after="0"/>
        <w:ind w:left="720" w:hanging="360"/>
        <w:jc w:val="both"/>
        <w:rPr>
          <w:b/>
          <w:bCs/>
          <w:sz w:val="24"/>
          <w:szCs w:val="24"/>
        </w:rPr>
      </w:pPr>
      <w:r>
        <w:rPr>
          <w:b/>
          <w:bCs/>
          <w:sz w:val="24"/>
          <w:szCs w:val="24"/>
        </w:rPr>
        <w:t>Video Platform Considerations</w:t>
      </w:r>
      <w:r w:rsidR="00F202F7">
        <w:rPr>
          <w:b/>
          <w:bCs/>
          <w:sz w:val="24"/>
          <w:szCs w:val="24"/>
        </w:rPr>
        <w:t xml:space="preserve"> (Provider</w:t>
      </w:r>
      <w:r>
        <w:rPr>
          <w:b/>
          <w:bCs/>
          <w:sz w:val="24"/>
          <w:szCs w:val="24"/>
        </w:rPr>
        <w:t xml:space="preserve"> and </w:t>
      </w:r>
      <w:r w:rsidR="00C07005">
        <w:rPr>
          <w:b/>
          <w:bCs/>
          <w:sz w:val="24"/>
          <w:szCs w:val="24"/>
        </w:rPr>
        <w:t>Patient</w:t>
      </w:r>
      <w:r w:rsidR="00F202F7">
        <w:rPr>
          <w:b/>
          <w:bCs/>
          <w:sz w:val="24"/>
          <w:szCs w:val="24"/>
        </w:rPr>
        <w:t>)</w:t>
      </w:r>
      <w:r w:rsidR="00564898">
        <w:rPr>
          <w:b/>
          <w:bCs/>
          <w:sz w:val="24"/>
          <w:szCs w:val="24"/>
        </w:rPr>
        <w:t xml:space="preserve"> for a Virtual-Type Visit.</w:t>
      </w:r>
    </w:p>
    <w:p w14:paraId="5B8879E1" w14:textId="58CAE751" w:rsidR="00406DC0" w:rsidRDefault="00406DC0" w:rsidP="00DA274A">
      <w:pPr>
        <w:pStyle w:val="ListParagraph"/>
        <w:numPr>
          <w:ilvl w:val="0"/>
          <w:numId w:val="5"/>
        </w:numPr>
        <w:ind w:left="1440"/>
        <w:jc w:val="both"/>
        <w:rPr>
          <w:sz w:val="24"/>
          <w:szCs w:val="24"/>
        </w:rPr>
      </w:pPr>
      <w:r w:rsidRPr="00336A0C">
        <w:rPr>
          <w:sz w:val="24"/>
          <w:szCs w:val="24"/>
        </w:rPr>
        <w:t>Keep</w:t>
      </w:r>
      <w:r w:rsidR="00FF2797">
        <w:rPr>
          <w:sz w:val="24"/>
          <w:szCs w:val="24"/>
        </w:rPr>
        <w:t xml:space="preserve"> the</w:t>
      </w:r>
      <w:r w:rsidRPr="00336A0C">
        <w:rPr>
          <w:sz w:val="24"/>
          <w:szCs w:val="24"/>
        </w:rPr>
        <w:t xml:space="preserve"> lighting</w:t>
      </w:r>
      <w:r w:rsidR="00FF2797">
        <w:rPr>
          <w:sz w:val="24"/>
          <w:szCs w:val="24"/>
        </w:rPr>
        <w:t xml:space="preserve"> source during the visit</w:t>
      </w:r>
      <w:r w:rsidRPr="00336A0C">
        <w:rPr>
          <w:sz w:val="24"/>
          <w:szCs w:val="24"/>
        </w:rPr>
        <w:t xml:space="preserve"> in front, or to the side</w:t>
      </w:r>
      <w:r w:rsidR="00FF2797">
        <w:rPr>
          <w:sz w:val="24"/>
          <w:szCs w:val="24"/>
        </w:rPr>
        <w:t>,</w:t>
      </w:r>
      <w:r w:rsidRPr="00336A0C">
        <w:rPr>
          <w:sz w:val="24"/>
          <w:szCs w:val="24"/>
        </w:rPr>
        <w:t xml:space="preserve"> of the speaker. Avoid </w:t>
      </w:r>
      <w:r w:rsidR="00FF2797">
        <w:rPr>
          <w:sz w:val="24"/>
          <w:szCs w:val="24"/>
        </w:rPr>
        <w:t xml:space="preserve">having the </w:t>
      </w:r>
      <w:r w:rsidRPr="00336A0C">
        <w:rPr>
          <w:sz w:val="24"/>
          <w:szCs w:val="24"/>
        </w:rPr>
        <w:t>camera fac</w:t>
      </w:r>
      <w:r w:rsidR="00FF2797">
        <w:rPr>
          <w:sz w:val="24"/>
          <w:szCs w:val="24"/>
        </w:rPr>
        <w:t>e</w:t>
      </w:r>
      <w:r w:rsidRPr="00336A0C">
        <w:rPr>
          <w:sz w:val="24"/>
          <w:szCs w:val="24"/>
        </w:rPr>
        <w:t xml:space="preserve"> a bright window.</w:t>
      </w:r>
    </w:p>
    <w:p w14:paraId="346B6A3F" w14:textId="422698D5" w:rsidR="001F0084" w:rsidRPr="00336A0C" w:rsidRDefault="00FF2797" w:rsidP="00DA274A">
      <w:pPr>
        <w:pStyle w:val="ListParagraph"/>
        <w:numPr>
          <w:ilvl w:val="0"/>
          <w:numId w:val="5"/>
        </w:numPr>
        <w:ind w:left="1440"/>
        <w:jc w:val="both"/>
        <w:rPr>
          <w:sz w:val="24"/>
          <w:szCs w:val="24"/>
        </w:rPr>
      </w:pPr>
      <w:r>
        <w:rPr>
          <w:sz w:val="24"/>
          <w:szCs w:val="24"/>
        </w:rPr>
        <w:t>For the camera/image placement during the visit, f</w:t>
      </w:r>
      <w:r w:rsidR="001F0084">
        <w:rPr>
          <w:sz w:val="24"/>
          <w:szCs w:val="24"/>
        </w:rPr>
        <w:t xml:space="preserve">ill the frame, do not be looking down, look at eye level, allow hand gestures to be seen. </w:t>
      </w:r>
    </w:p>
    <w:p w14:paraId="5D0AE802" w14:textId="6AFAAA84" w:rsidR="00D359CC" w:rsidRDefault="00FF2797" w:rsidP="00DA274A">
      <w:pPr>
        <w:pStyle w:val="ListParagraph"/>
        <w:numPr>
          <w:ilvl w:val="0"/>
          <w:numId w:val="5"/>
        </w:numPr>
        <w:ind w:left="1440"/>
        <w:jc w:val="both"/>
        <w:rPr>
          <w:sz w:val="24"/>
          <w:szCs w:val="24"/>
        </w:rPr>
      </w:pPr>
      <w:r>
        <w:rPr>
          <w:sz w:val="24"/>
          <w:szCs w:val="24"/>
        </w:rPr>
        <w:t>The background a</w:t>
      </w:r>
      <w:r w:rsidR="00406DC0">
        <w:rPr>
          <w:sz w:val="24"/>
          <w:szCs w:val="24"/>
        </w:rPr>
        <w:t>rea engaging with patients</w:t>
      </w:r>
      <w:r>
        <w:rPr>
          <w:sz w:val="24"/>
          <w:szCs w:val="24"/>
        </w:rPr>
        <w:t xml:space="preserve"> should</w:t>
      </w:r>
      <w:r w:rsidR="00406DC0">
        <w:rPr>
          <w:sz w:val="24"/>
          <w:szCs w:val="24"/>
        </w:rPr>
        <w:t xml:space="preserve"> be neat, clean, free of distractions. </w:t>
      </w:r>
    </w:p>
    <w:p w14:paraId="3D653F31" w14:textId="02A4A9C3" w:rsidR="003A2AAB" w:rsidRDefault="001A1F03" w:rsidP="00DA274A">
      <w:pPr>
        <w:pStyle w:val="ListParagraph"/>
        <w:numPr>
          <w:ilvl w:val="0"/>
          <w:numId w:val="5"/>
        </w:numPr>
        <w:ind w:left="1440"/>
        <w:jc w:val="both"/>
        <w:rPr>
          <w:sz w:val="24"/>
          <w:szCs w:val="24"/>
        </w:rPr>
      </w:pPr>
      <w:r>
        <w:rPr>
          <w:sz w:val="24"/>
          <w:szCs w:val="24"/>
        </w:rPr>
        <w:t>Reduce</w:t>
      </w:r>
      <w:r w:rsidR="00FF2797">
        <w:rPr>
          <w:sz w:val="24"/>
          <w:szCs w:val="24"/>
        </w:rPr>
        <w:t xml:space="preserve"> background noise</w:t>
      </w:r>
      <w:r>
        <w:rPr>
          <w:sz w:val="24"/>
          <w:szCs w:val="24"/>
        </w:rPr>
        <w:t xml:space="preserve"> by utilizing mute features appropriately</w:t>
      </w:r>
      <w:r w:rsidR="005A6E8B">
        <w:rPr>
          <w:sz w:val="24"/>
          <w:szCs w:val="24"/>
        </w:rPr>
        <w:t xml:space="preserve"> </w:t>
      </w:r>
      <w:r>
        <w:rPr>
          <w:sz w:val="24"/>
          <w:szCs w:val="24"/>
        </w:rPr>
        <w:t>or consider using a headset.</w:t>
      </w:r>
    </w:p>
    <w:p w14:paraId="75D9BE41" w14:textId="067010B1" w:rsidR="00C024FC" w:rsidRPr="00D7451D" w:rsidRDefault="00FF2797" w:rsidP="00DA274A">
      <w:pPr>
        <w:pStyle w:val="ListParagraph"/>
        <w:numPr>
          <w:ilvl w:val="0"/>
          <w:numId w:val="5"/>
        </w:numPr>
        <w:ind w:left="1440"/>
        <w:jc w:val="both"/>
        <w:rPr>
          <w:sz w:val="24"/>
          <w:szCs w:val="24"/>
        </w:rPr>
      </w:pPr>
      <w:r>
        <w:rPr>
          <w:sz w:val="24"/>
          <w:szCs w:val="24"/>
        </w:rPr>
        <w:t>Consider the e</w:t>
      </w:r>
      <w:r w:rsidR="00D359CC">
        <w:rPr>
          <w:sz w:val="24"/>
          <w:szCs w:val="24"/>
        </w:rPr>
        <w:t xml:space="preserve">ase of connectivity to </w:t>
      </w:r>
      <w:r>
        <w:rPr>
          <w:sz w:val="24"/>
          <w:szCs w:val="24"/>
        </w:rPr>
        <w:t xml:space="preserve">the </w:t>
      </w:r>
      <w:r w:rsidR="00D359CC">
        <w:rPr>
          <w:sz w:val="24"/>
          <w:szCs w:val="24"/>
        </w:rPr>
        <w:t>internet and wi-fi connection</w:t>
      </w:r>
      <w:r>
        <w:rPr>
          <w:sz w:val="24"/>
          <w:szCs w:val="24"/>
        </w:rPr>
        <w:t xml:space="preserve"> during the visit</w:t>
      </w:r>
      <w:r w:rsidR="004776E1">
        <w:rPr>
          <w:sz w:val="24"/>
          <w:szCs w:val="24"/>
        </w:rPr>
        <w:t xml:space="preserve">. </w:t>
      </w:r>
    </w:p>
    <w:p w14:paraId="3268F1EF" w14:textId="77777777" w:rsidR="004776E1" w:rsidRPr="004776E1" w:rsidRDefault="004776E1" w:rsidP="004776E1">
      <w:pPr>
        <w:pStyle w:val="ListParagraph"/>
        <w:ind w:left="1800"/>
        <w:jc w:val="both"/>
        <w:rPr>
          <w:sz w:val="24"/>
          <w:szCs w:val="24"/>
        </w:rPr>
      </w:pPr>
    </w:p>
    <w:p w14:paraId="1CA975C4" w14:textId="65FEDFFB" w:rsidR="00F25970" w:rsidRPr="00962798" w:rsidRDefault="001F5CCD" w:rsidP="00DA274A">
      <w:pPr>
        <w:pStyle w:val="ListParagraph"/>
        <w:numPr>
          <w:ilvl w:val="0"/>
          <w:numId w:val="2"/>
        </w:numPr>
        <w:ind w:left="720" w:hanging="360"/>
        <w:jc w:val="both"/>
        <w:rPr>
          <w:b/>
          <w:bCs/>
          <w:sz w:val="24"/>
          <w:szCs w:val="24"/>
        </w:rPr>
      </w:pPr>
      <w:r>
        <w:rPr>
          <w:b/>
          <w:bCs/>
          <w:sz w:val="24"/>
          <w:szCs w:val="24"/>
        </w:rPr>
        <w:t>Health Insurance Portability and Accountability Act (HIPAA)</w:t>
      </w:r>
      <w:r w:rsidR="00FF2797">
        <w:rPr>
          <w:b/>
          <w:bCs/>
          <w:sz w:val="24"/>
          <w:szCs w:val="24"/>
        </w:rPr>
        <w:t xml:space="preserve"> Requirements for the Virtual-Type Visit.</w:t>
      </w:r>
    </w:p>
    <w:p w14:paraId="328D5EF6" w14:textId="77777777" w:rsidR="00962798" w:rsidRDefault="00F25970" w:rsidP="00DA274A">
      <w:pPr>
        <w:pStyle w:val="ListParagraph"/>
        <w:numPr>
          <w:ilvl w:val="0"/>
          <w:numId w:val="11"/>
        </w:numPr>
        <w:ind w:left="1440"/>
        <w:jc w:val="both"/>
        <w:rPr>
          <w:sz w:val="24"/>
          <w:szCs w:val="24"/>
        </w:rPr>
      </w:pPr>
      <w:r w:rsidRPr="00336A0C">
        <w:rPr>
          <w:sz w:val="24"/>
          <w:szCs w:val="24"/>
        </w:rPr>
        <w:t xml:space="preserve">Compliance with HIPAA should be to the greatest extent possible. </w:t>
      </w:r>
    </w:p>
    <w:p w14:paraId="6154C0BB" w14:textId="4EFE6831" w:rsidR="0024709C" w:rsidRPr="00962798" w:rsidRDefault="0024709C" w:rsidP="00DA274A">
      <w:pPr>
        <w:pStyle w:val="ListParagraph"/>
        <w:numPr>
          <w:ilvl w:val="0"/>
          <w:numId w:val="11"/>
        </w:numPr>
        <w:spacing w:after="0"/>
        <w:ind w:left="1440"/>
        <w:jc w:val="both"/>
        <w:rPr>
          <w:sz w:val="24"/>
          <w:szCs w:val="24"/>
        </w:rPr>
      </w:pPr>
      <w:r w:rsidRPr="00962798">
        <w:rPr>
          <w:rFonts w:eastAsia="Times New Roman" w:cstheme="minorHAnsi"/>
          <w:sz w:val="24"/>
          <w:szCs w:val="24"/>
        </w:rPr>
        <w:t xml:space="preserve">Only authorized users </w:t>
      </w:r>
      <w:r w:rsidR="00EE5B75">
        <w:rPr>
          <w:rFonts w:eastAsia="Times New Roman" w:cstheme="minorHAnsi"/>
          <w:sz w:val="24"/>
          <w:szCs w:val="24"/>
        </w:rPr>
        <w:t>must</w:t>
      </w:r>
      <w:r w:rsidRPr="00962798">
        <w:rPr>
          <w:rFonts w:eastAsia="Times New Roman" w:cstheme="minorHAnsi"/>
          <w:sz w:val="24"/>
          <w:szCs w:val="24"/>
        </w:rPr>
        <w:t xml:space="preserve"> have access to</w:t>
      </w:r>
      <w:r w:rsidR="00AF0609">
        <w:rPr>
          <w:rFonts w:eastAsia="Times New Roman" w:cstheme="minorHAnsi"/>
          <w:sz w:val="24"/>
          <w:szCs w:val="24"/>
        </w:rPr>
        <w:t xml:space="preserve"> a patient’s private health information</w:t>
      </w:r>
      <w:r w:rsidRPr="00962798">
        <w:rPr>
          <w:rFonts w:eastAsia="Times New Roman" w:cstheme="minorHAnsi"/>
          <w:sz w:val="24"/>
          <w:szCs w:val="24"/>
        </w:rPr>
        <w:t>.</w:t>
      </w:r>
    </w:p>
    <w:p w14:paraId="0B72A924" w14:textId="2A43E1AA" w:rsidR="0024709C" w:rsidRDefault="0024709C" w:rsidP="00DA274A">
      <w:pPr>
        <w:numPr>
          <w:ilvl w:val="0"/>
          <w:numId w:val="11"/>
        </w:numPr>
        <w:spacing w:before="100" w:beforeAutospacing="1" w:after="0" w:line="240" w:lineRule="auto"/>
        <w:ind w:left="1440"/>
        <w:rPr>
          <w:rFonts w:eastAsia="Times New Roman" w:cstheme="minorHAnsi"/>
          <w:sz w:val="24"/>
          <w:szCs w:val="24"/>
        </w:rPr>
      </w:pPr>
      <w:r w:rsidRPr="0024709C">
        <w:rPr>
          <w:rFonts w:eastAsia="Times New Roman" w:cstheme="minorHAnsi"/>
          <w:sz w:val="24"/>
          <w:szCs w:val="24"/>
        </w:rPr>
        <w:t xml:space="preserve">A system of secure communication should be implemented to protect the </w:t>
      </w:r>
      <w:r w:rsidR="00AF0609">
        <w:rPr>
          <w:rFonts w:eastAsia="Times New Roman" w:cstheme="minorHAnsi"/>
          <w:sz w:val="24"/>
          <w:szCs w:val="24"/>
        </w:rPr>
        <w:t>patient information</w:t>
      </w:r>
      <w:r w:rsidRPr="0024709C">
        <w:rPr>
          <w:rFonts w:eastAsia="Times New Roman" w:cstheme="minorHAnsi"/>
          <w:sz w:val="24"/>
          <w:szCs w:val="24"/>
        </w:rPr>
        <w:t>.</w:t>
      </w:r>
    </w:p>
    <w:p w14:paraId="3CEDB13F" w14:textId="0591E4E0" w:rsidR="00040403" w:rsidRDefault="0024709C" w:rsidP="00DA274A">
      <w:pPr>
        <w:numPr>
          <w:ilvl w:val="0"/>
          <w:numId w:val="11"/>
        </w:numPr>
        <w:spacing w:before="100" w:beforeAutospacing="1" w:after="100" w:afterAutospacing="1" w:line="240" w:lineRule="auto"/>
        <w:ind w:left="1440"/>
        <w:rPr>
          <w:rFonts w:eastAsia="Times New Roman" w:cstheme="minorHAnsi"/>
          <w:sz w:val="24"/>
          <w:szCs w:val="24"/>
        </w:rPr>
      </w:pPr>
      <w:r w:rsidRPr="0024709C">
        <w:rPr>
          <w:rFonts w:eastAsia="Times New Roman" w:cstheme="minorHAnsi"/>
          <w:sz w:val="24"/>
          <w:szCs w:val="24"/>
        </w:rPr>
        <w:t xml:space="preserve">A system of monitoring communications should be implemented to prevent accidental or </w:t>
      </w:r>
      <w:r w:rsidR="00AF0609">
        <w:rPr>
          <w:rFonts w:eastAsia="Times New Roman" w:cstheme="minorHAnsi"/>
          <w:sz w:val="24"/>
          <w:szCs w:val="24"/>
        </w:rPr>
        <w:t>intentional</w:t>
      </w:r>
      <w:r w:rsidRPr="0024709C">
        <w:rPr>
          <w:rFonts w:eastAsia="Times New Roman" w:cstheme="minorHAnsi"/>
          <w:sz w:val="24"/>
          <w:szCs w:val="24"/>
        </w:rPr>
        <w:t xml:space="preserve"> breaches</w:t>
      </w:r>
      <w:r w:rsidR="00E441AC">
        <w:rPr>
          <w:rFonts w:eastAsia="Times New Roman" w:cstheme="minorHAnsi"/>
          <w:sz w:val="24"/>
          <w:szCs w:val="24"/>
        </w:rPr>
        <w:t>.</w:t>
      </w:r>
    </w:p>
    <w:p w14:paraId="490608BE" w14:textId="4A74B0CB" w:rsidR="00DA274A" w:rsidRPr="00FD1F2B" w:rsidRDefault="00827349" w:rsidP="00DA274A">
      <w:pPr>
        <w:spacing w:before="100" w:beforeAutospacing="1" w:after="100" w:afterAutospacing="1" w:line="240" w:lineRule="auto"/>
        <w:rPr>
          <w:rFonts w:eastAsia="Times New Roman" w:cstheme="minorHAnsi"/>
          <w:sz w:val="24"/>
          <w:szCs w:val="24"/>
        </w:rPr>
      </w:pPr>
      <w:r>
        <w:rPr>
          <w:noProof/>
          <w:sz w:val="24"/>
          <w:szCs w:val="24"/>
        </w:rPr>
        <w:lastRenderedPageBreak/>
        <mc:AlternateContent>
          <mc:Choice Requires="wps">
            <w:drawing>
              <wp:anchor distT="0" distB="0" distL="114300" distR="114300" simplePos="0" relativeHeight="251663360" behindDoc="0" locked="0" layoutInCell="1" allowOverlap="1" wp14:anchorId="79AF2C84" wp14:editId="5311E95B">
                <wp:simplePos x="0" y="0"/>
                <wp:positionH relativeFrom="column">
                  <wp:posOffset>180975</wp:posOffset>
                </wp:positionH>
                <wp:positionV relativeFrom="paragraph">
                  <wp:posOffset>290830</wp:posOffset>
                </wp:positionV>
                <wp:extent cx="5857875" cy="5962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857875" cy="59626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7135" id="Rectangle 5" o:spid="_x0000_s1026" style="position:absolute;margin-left:14.25pt;margin-top:22.9pt;width:461.25pt;height:4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" filled="f" strokecolor="#7f7f7f"/>
            </w:pict>
          </mc:Fallback>
        </mc:AlternateContent>
      </w:r>
    </w:p>
    <w:p w14:paraId="194A3814" w14:textId="5A74CFC0" w:rsidR="00F45724" w:rsidRDefault="00F45724" w:rsidP="00ED4472">
      <w:pPr>
        <w:shd w:val="clear" w:color="auto" w:fill="E7E6E6" w:themeFill="background2"/>
        <w:spacing w:after="0"/>
        <w:ind w:left="450"/>
        <w:jc w:val="center"/>
        <w:rPr>
          <w:i/>
          <w:iCs/>
          <w:sz w:val="24"/>
          <w:szCs w:val="24"/>
        </w:rPr>
      </w:pPr>
      <w:r>
        <w:rPr>
          <w:i/>
          <w:iCs/>
          <w:sz w:val="24"/>
          <w:szCs w:val="24"/>
        </w:rPr>
        <w:t>Temporary PHE Guidance*</w:t>
      </w:r>
    </w:p>
    <w:p w14:paraId="4E52D73C" w14:textId="77777777" w:rsidR="006A08D4" w:rsidRDefault="006A08D4" w:rsidP="00ED4472">
      <w:pPr>
        <w:shd w:val="clear" w:color="auto" w:fill="E7E6E6" w:themeFill="background2"/>
        <w:spacing w:after="0"/>
        <w:ind w:left="450"/>
        <w:jc w:val="center"/>
        <w:rPr>
          <w:i/>
          <w:iCs/>
          <w:sz w:val="24"/>
          <w:szCs w:val="24"/>
        </w:rPr>
      </w:pPr>
    </w:p>
    <w:p w14:paraId="75E76718" w14:textId="18C70149" w:rsidR="001C1229" w:rsidRPr="001C1229" w:rsidRDefault="001C1229" w:rsidP="00800971">
      <w:pPr>
        <w:shd w:val="clear" w:color="auto" w:fill="E7E6E6" w:themeFill="background2"/>
        <w:spacing w:after="0"/>
        <w:ind w:left="450"/>
        <w:jc w:val="both"/>
        <w:rPr>
          <w:i/>
          <w:iCs/>
          <w:sz w:val="24"/>
          <w:szCs w:val="24"/>
        </w:rPr>
      </w:pPr>
      <w:r w:rsidRPr="001C1229">
        <w:rPr>
          <w:i/>
          <w:iCs/>
          <w:sz w:val="24"/>
          <w:szCs w:val="24"/>
        </w:rPr>
        <w:t xml:space="preserve">“The U.S. Department of Health and Human Services Office for Civil Rights issued a </w:t>
      </w:r>
      <w:hyperlink r:id="rId9" w:history="1">
        <w:r w:rsidRPr="001C1229">
          <w:rPr>
            <w:i/>
            <w:iCs/>
            <w:color w:val="4472C4" w:themeColor="accent1"/>
            <w:sz w:val="24"/>
            <w:szCs w:val="24"/>
            <w:u w:val="single"/>
          </w:rPr>
          <w:t>Notification of Enforcement Discretion</w:t>
        </w:r>
      </w:hyperlink>
      <w:r w:rsidRPr="001C1229">
        <w:rPr>
          <w:i/>
          <w:iCs/>
          <w:sz w:val="24"/>
          <w:szCs w:val="24"/>
        </w:rPr>
        <w:t xml:space="preserve"> to empower covered health care providers to use widely available communications applications without the risk of penalties imposed by the U.S. Department of Health and Human Services Office for Civil Rights for violations of HIPAA rules for the good faith provision of telehealth services.”</w:t>
      </w:r>
    </w:p>
    <w:p w14:paraId="25891215" w14:textId="77777777" w:rsidR="001C1229" w:rsidRPr="001C1229" w:rsidRDefault="001C1229" w:rsidP="00800971">
      <w:pPr>
        <w:shd w:val="clear" w:color="auto" w:fill="E7E6E6" w:themeFill="background2"/>
        <w:spacing w:after="0"/>
        <w:ind w:left="450"/>
        <w:jc w:val="both"/>
        <w:rPr>
          <w:i/>
          <w:iCs/>
          <w:sz w:val="24"/>
          <w:szCs w:val="24"/>
        </w:rPr>
      </w:pPr>
    </w:p>
    <w:p w14:paraId="4C283729" w14:textId="0E5F37AC" w:rsidR="002B78E3" w:rsidRDefault="00DC17A1" w:rsidP="00800971">
      <w:pPr>
        <w:shd w:val="clear" w:color="auto" w:fill="E7E6E6" w:themeFill="background2"/>
        <w:spacing w:after="0"/>
        <w:ind w:left="450"/>
        <w:jc w:val="both"/>
        <w:rPr>
          <w:i/>
          <w:iCs/>
          <w:sz w:val="24"/>
          <w:szCs w:val="24"/>
        </w:rPr>
      </w:pPr>
      <w:r>
        <w:rPr>
          <w:i/>
          <w:iCs/>
          <w:sz w:val="24"/>
          <w:szCs w:val="24"/>
        </w:rPr>
        <w:t>“</w:t>
      </w:r>
      <w:r w:rsidR="003F0C61" w:rsidRPr="00962798">
        <w:rPr>
          <w:i/>
          <w:iCs/>
          <w:sz w:val="24"/>
          <w:szCs w:val="24"/>
        </w:rPr>
        <w:t>A covered health care provider that wants to use audio or video communication technology</w:t>
      </w:r>
      <w:r>
        <w:rPr>
          <w:i/>
          <w:iCs/>
          <w:sz w:val="24"/>
          <w:szCs w:val="24"/>
        </w:rPr>
        <w:t xml:space="preserve"> </w:t>
      </w:r>
      <w:r w:rsidR="003F0C61" w:rsidRPr="00962798">
        <w:rPr>
          <w:i/>
          <w:iCs/>
          <w:sz w:val="24"/>
          <w:szCs w:val="24"/>
        </w:rPr>
        <w:t>to provide telehealth to patients during the COVID-19 nationwide public health emergency can use any non-public facing remote communication product that is available to communicate with patients.</w:t>
      </w:r>
      <w:r>
        <w:rPr>
          <w:i/>
          <w:iCs/>
          <w:sz w:val="24"/>
          <w:szCs w:val="24"/>
        </w:rPr>
        <w:t>”</w:t>
      </w:r>
      <w:r w:rsidR="003F0C61" w:rsidRPr="00962798">
        <w:rPr>
          <w:i/>
          <w:iCs/>
          <w:sz w:val="24"/>
          <w:szCs w:val="24"/>
        </w:rPr>
        <w:t> </w:t>
      </w:r>
    </w:p>
    <w:p w14:paraId="7F30E6B0" w14:textId="77777777" w:rsidR="00CA7BEE" w:rsidRDefault="00CA7BEE" w:rsidP="00800971">
      <w:pPr>
        <w:shd w:val="clear" w:color="auto" w:fill="E7E6E6" w:themeFill="background2"/>
        <w:spacing w:after="0"/>
        <w:ind w:left="450"/>
        <w:jc w:val="both"/>
        <w:rPr>
          <w:i/>
          <w:iCs/>
          <w:sz w:val="24"/>
          <w:szCs w:val="24"/>
        </w:rPr>
      </w:pPr>
    </w:p>
    <w:p w14:paraId="57BA8E7A" w14:textId="7B583C80" w:rsidR="001B6C86" w:rsidRDefault="00DC17A1" w:rsidP="00800971">
      <w:pPr>
        <w:shd w:val="clear" w:color="auto" w:fill="E7E6E6" w:themeFill="background2"/>
        <w:spacing w:after="0"/>
        <w:ind w:left="450"/>
        <w:jc w:val="both"/>
        <w:rPr>
          <w:i/>
          <w:iCs/>
          <w:sz w:val="24"/>
          <w:szCs w:val="24"/>
        </w:rPr>
      </w:pPr>
      <w:r>
        <w:rPr>
          <w:i/>
          <w:iCs/>
          <w:sz w:val="24"/>
          <w:szCs w:val="24"/>
        </w:rPr>
        <w:t>-</w:t>
      </w:r>
      <w:r w:rsidR="003F0C61" w:rsidRPr="00DC17A1">
        <w:rPr>
          <w:i/>
          <w:iCs/>
          <w:sz w:val="24"/>
          <w:szCs w:val="24"/>
        </w:rPr>
        <w:t>Audio and video</w:t>
      </w:r>
      <w:r w:rsidR="000A6988" w:rsidRPr="00DC17A1">
        <w:rPr>
          <w:i/>
          <w:iCs/>
          <w:sz w:val="24"/>
          <w:szCs w:val="24"/>
        </w:rPr>
        <w:t xml:space="preserve"> communication technology, such as </w:t>
      </w:r>
      <w:r w:rsidR="005116AC" w:rsidRPr="00DC17A1">
        <w:rPr>
          <w:i/>
          <w:iCs/>
          <w:sz w:val="24"/>
          <w:szCs w:val="24"/>
        </w:rPr>
        <w:t xml:space="preserve">Apple </w:t>
      </w:r>
      <w:r w:rsidR="000A6988" w:rsidRPr="00DC17A1">
        <w:rPr>
          <w:i/>
          <w:iCs/>
          <w:sz w:val="24"/>
          <w:szCs w:val="24"/>
        </w:rPr>
        <w:t>Facetime,</w:t>
      </w:r>
      <w:r w:rsidR="00962798" w:rsidRPr="00DC17A1">
        <w:rPr>
          <w:i/>
          <w:iCs/>
          <w:sz w:val="24"/>
          <w:szCs w:val="24"/>
        </w:rPr>
        <w:t xml:space="preserve"> </w:t>
      </w:r>
      <w:r w:rsidR="000A6988" w:rsidRPr="00DC17A1">
        <w:rPr>
          <w:i/>
          <w:iCs/>
          <w:sz w:val="24"/>
          <w:szCs w:val="24"/>
        </w:rPr>
        <w:t>Facebook Messenger</w:t>
      </w:r>
      <w:r w:rsidR="005116AC" w:rsidRPr="00DC17A1">
        <w:rPr>
          <w:i/>
          <w:iCs/>
          <w:sz w:val="24"/>
          <w:szCs w:val="24"/>
        </w:rPr>
        <w:t xml:space="preserve"> video chat</w:t>
      </w:r>
      <w:r w:rsidR="000A6988" w:rsidRPr="00DC17A1">
        <w:rPr>
          <w:i/>
          <w:iCs/>
          <w:sz w:val="24"/>
          <w:szCs w:val="24"/>
        </w:rPr>
        <w:t xml:space="preserve">, </w:t>
      </w:r>
      <w:r w:rsidR="005116AC" w:rsidRPr="00DC17A1">
        <w:rPr>
          <w:i/>
          <w:iCs/>
          <w:sz w:val="24"/>
          <w:szCs w:val="24"/>
        </w:rPr>
        <w:t xml:space="preserve">Google Hangouts video, Skype, </w:t>
      </w:r>
      <w:r w:rsidR="000A6988" w:rsidRPr="00DC17A1">
        <w:rPr>
          <w:i/>
          <w:iCs/>
          <w:sz w:val="24"/>
          <w:szCs w:val="24"/>
        </w:rPr>
        <w:t xml:space="preserve">Zoom can be used. </w:t>
      </w:r>
      <w:r w:rsidR="00CA7BEE">
        <w:rPr>
          <w:i/>
          <w:iCs/>
          <w:sz w:val="24"/>
          <w:szCs w:val="24"/>
        </w:rPr>
        <w:t>(although allowed, not highly recommended)</w:t>
      </w:r>
    </w:p>
    <w:p w14:paraId="49F9BB8F" w14:textId="77777777" w:rsidR="002B78E3" w:rsidRPr="00DC17A1" w:rsidRDefault="002B78E3" w:rsidP="00800971">
      <w:pPr>
        <w:shd w:val="clear" w:color="auto" w:fill="E7E6E6" w:themeFill="background2"/>
        <w:spacing w:after="0"/>
        <w:ind w:left="720" w:hanging="270"/>
        <w:jc w:val="both"/>
        <w:rPr>
          <w:i/>
          <w:iCs/>
          <w:sz w:val="24"/>
          <w:szCs w:val="24"/>
        </w:rPr>
      </w:pPr>
    </w:p>
    <w:p w14:paraId="5CD8863F" w14:textId="2AEC6A7F" w:rsidR="003F0C61" w:rsidRDefault="00DC17A1" w:rsidP="00827349">
      <w:pPr>
        <w:shd w:val="clear" w:color="auto" w:fill="E7E6E6" w:themeFill="background2"/>
        <w:spacing w:after="0"/>
        <w:ind w:left="450"/>
        <w:jc w:val="both"/>
        <w:rPr>
          <w:i/>
          <w:iCs/>
          <w:sz w:val="24"/>
          <w:szCs w:val="24"/>
        </w:rPr>
      </w:pPr>
      <w:r>
        <w:rPr>
          <w:i/>
          <w:iCs/>
          <w:sz w:val="24"/>
          <w:szCs w:val="24"/>
        </w:rPr>
        <w:t>-</w:t>
      </w:r>
      <w:r w:rsidR="000A6988" w:rsidRPr="00DC17A1">
        <w:rPr>
          <w:i/>
          <w:iCs/>
          <w:sz w:val="24"/>
          <w:szCs w:val="24"/>
        </w:rPr>
        <w:t>Public facing is not allowed</w:t>
      </w:r>
      <w:r w:rsidR="001B6C86" w:rsidRPr="00DC17A1">
        <w:rPr>
          <w:i/>
          <w:iCs/>
          <w:sz w:val="24"/>
          <w:szCs w:val="24"/>
        </w:rPr>
        <w:t xml:space="preserve">, to include Facebook Live, Twitch, </w:t>
      </w:r>
      <w:proofErr w:type="spellStart"/>
      <w:r w:rsidR="001B6C86" w:rsidRPr="00DC17A1">
        <w:rPr>
          <w:i/>
          <w:iCs/>
          <w:sz w:val="24"/>
          <w:szCs w:val="24"/>
        </w:rPr>
        <w:t>TikTok</w:t>
      </w:r>
      <w:proofErr w:type="spellEnd"/>
      <w:r w:rsidR="001B6C86" w:rsidRPr="00DC17A1">
        <w:rPr>
          <w:i/>
          <w:iCs/>
          <w:sz w:val="24"/>
          <w:szCs w:val="24"/>
        </w:rPr>
        <w:t>, and similar video</w:t>
      </w:r>
      <w:r w:rsidR="00827349">
        <w:rPr>
          <w:i/>
          <w:iCs/>
          <w:sz w:val="24"/>
          <w:szCs w:val="24"/>
        </w:rPr>
        <w:t xml:space="preserve"> </w:t>
      </w:r>
      <w:r w:rsidR="001B6C86" w:rsidRPr="00DC17A1">
        <w:rPr>
          <w:i/>
          <w:iCs/>
          <w:sz w:val="24"/>
          <w:szCs w:val="24"/>
        </w:rPr>
        <w:t xml:space="preserve">communication applications. </w:t>
      </w:r>
    </w:p>
    <w:p w14:paraId="32020752" w14:textId="220BA996" w:rsidR="00ED4472" w:rsidRDefault="00ED4472" w:rsidP="00827349">
      <w:pPr>
        <w:shd w:val="clear" w:color="auto" w:fill="E7E6E6" w:themeFill="background2"/>
        <w:spacing w:after="0"/>
        <w:ind w:left="540" w:hanging="90"/>
        <w:rPr>
          <w:i/>
          <w:iCs/>
          <w:sz w:val="24"/>
          <w:szCs w:val="24"/>
        </w:rPr>
      </w:pPr>
      <w:bookmarkStart w:id="0" w:name="_Hlk53930721"/>
      <w:r w:rsidRPr="00ED4472">
        <w:rPr>
          <w:i/>
          <w:iCs/>
          <w:sz w:val="24"/>
          <w:szCs w:val="24"/>
        </w:rPr>
        <w:t>For further reading</w:t>
      </w:r>
      <w:r w:rsidRPr="00ED4472">
        <w:rPr>
          <w:i/>
          <w:iCs/>
        </w:rPr>
        <w:t>:</w:t>
      </w:r>
      <w:r>
        <w:t xml:space="preserve"> </w:t>
      </w:r>
      <w:hyperlink r:id="rId10" w:history="1">
        <w:r w:rsidRPr="006A08D4">
          <w:rPr>
            <w:rStyle w:val="Hyperlink"/>
            <w:i/>
            <w:iCs/>
            <w:sz w:val="24"/>
            <w:szCs w:val="24"/>
          </w:rPr>
          <w:t>https://www.hhs.gov/hipaa/for-professionals/special-topics/emergency-preparedness/notification-enforcement-discretion-telehealth/index.html</w:t>
        </w:r>
      </w:hyperlink>
      <w:r w:rsidRPr="006A08D4">
        <w:rPr>
          <w:i/>
          <w:iCs/>
          <w:sz w:val="24"/>
          <w:szCs w:val="24"/>
        </w:rPr>
        <w:t xml:space="preserve"> </w:t>
      </w:r>
      <w:bookmarkEnd w:id="0"/>
      <w:r w:rsidRPr="006A08D4">
        <w:rPr>
          <w:i/>
          <w:iCs/>
          <w:sz w:val="24"/>
          <w:szCs w:val="24"/>
        </w:rPr>
        <w:t xml:space="preserve"> </w:t>
      </w:r>
    </w:p>
    <w:p w14:paraId="3475B24A" w14:textId="77777777" w:rsidR="006A08D4" w:rsidRPr="006A08D4" w:rsidRDefault="006A08D4" w:rsidP="00800971">
      <w:pPr>
        <w:shd w:val="clear" w:color="auto" w:fill="E7E6E6" w:themeFill="background2"/>
        <w:spacing w:after="0"/>
        <w:ind w:left="540" w:hanging="90"/>
        <w:jc w:val="both"/>
        <w:rPr>
          <w:i/>
          <w:iCs/>
          <w:sz w:val="24"/>
          <w:szCs w:val="24"/>
        </w:rPr>
      </w:pPr>
    </w:p>
    <w:p w14:paraId="7D97F198" w14:textId="4DD81361" w:rsidR="006A08D4" w:rsidRDefault="006A08D4" w:rsidP="00800971">
      <w:pPr>
        <w:shd w:val="clear" w:color="auto" w:fill="E7E6E6" w:themeFill="background2"/>
        <w:spacing w:after="0"/>
        <w:ind w:left="540" w:hanging="90"/>
        <w:jc w:val="both"/>
        <w:rPr>
          <w:i/>
          <w:iCs/>
          <w:sz w:val="24"/>
          <w:szCs w:val="24"/>
        </w:rPr>
      </w:pPr>
      <w:r>
        <w:rPr>
          <w:i/>
          <w:iCs/>
          <w:sz w:val="24"/>
          <w:szCs w:val="24"/>
        </w:rPr>
        <w:t xml:space="preserve">“During the COVID-19 Public Health Emergency, health care providers may use any non-public facing application to communicate with patients without risking any federal penalties – even if the application isn’t in compliance with the Health Insurance Portability Accountability Act of 1996 (HIPAA).” </w:t>
      </w:r>
    </w:p>
    <w:p w14:paraId="5DE8501A" w14:textId="3FF754CF" w:rsidR="006A08D4" w:rsidRPr="00962798" w:rsidRDefault="006A08D4" w:rsidP="00800971">
      <w:pPr>
        <w:shd w:val="clear" w:color="auto" w:fill="E7E6E6" w:themeFill="background2"/>
        <w:spacing w:after="0"/>
        <w:ind w:left="540" w:hanging="90"/>
        <w:jc w:val="both"/>
        <w:rPr>
          <w:sz w:val="24"/>
          <w:szCs w:val="24"/>
        </w:rPr>
      </w:pPr>
      <w:r>
        <w:rPr>
          <w:i/>
          <w:iCs/>
          <w:sz w:val="24"/>
          <w:szCs w:val="24"/>
        </w:rPr>
        <w:t>For further reading</w:t>
      </w:r>
      <w:r w:rsidRPr="006A08D4">
        <w:rPr>
          <w:i/>
          <w:iCs/>
          <w:sz w:val="24"/>
          <w:szCs w:val="24"/>
        </w:rPr>
        <w:t xml:space="preserve">: </w:t>
      </w:r>
      <w:hyperlink r:id="rId11" w:anchor="understanding-telehealth-technology-options" w:history="1">
        <w:r w:rsidRPr="006A08D4">
          <w:rPr>
            <w:rStyle w:val="Hyperlink"/>
            <w:i/>
            <w:iCs/>
            <w:sz w:val="24"/>
            <w:szCs w:val="24"/>
          </w:rPr>
          <w:t>https://telehealth.hhs.gov/providers/getting-started/#understanding-telehealth-technology-options</w:t>
        </w:r>
      </w:hyperlink>
      <w:r w:rsidRPr="006A08D4">
        <w:rPr>
          <w:i/>
          <w:iCs/>
          <w:sz w:val="24"/>
          <w:szCs w:val="24"/>
        </w:rPr>
        <w:t xml:space="preserve"> </w:t>
      </w:r>
    </w:p>
    <w:p w14:paraId="5998A987" w14:textId="77777777" w:rsidR="00655011" w:rsidRPr="006A08D4" w:rsidRDefault="00655011" w:rsidP="00800971">
      <w:pPr>
        <w:jc w:val="both"/>
        <w:rPr>
          <w:sz w:val="24"/>
          <w:szCs w:val="24"/>
        </w:rPr>
      </w:pPr>
    </w:p>
    <w:p w14:paraId="09447BA0" w14:textId="2455D028" w:rsidR="00D2201F" w:rsidRDefault="00D2201F" w:rsidP="00DA274A">
      <w:pPr>
        <w:pStyle w:val="ListParagraph"/>
        <w:numPr>
          <w:ilvl w:val="0"/>
          <w:numId w:val="2"/>
        </w:numPr>
        <w:spacing w:after="0"/>
        <w:ind w:left="720" w:hanging="360"/>
        <w:jc w:val="both"/>
        <w:rPr>
          <w:b/>
          <w:bCs/>
          <w:sz w:val="24"/>
          <w:szCs w:val="24"/>
        </w:rPr>
      </w:pPr>
      <w:r>
        <w:rPr>
          <w:b/>
          <w:bCs/>
          <w:sz w:val="24"/>
          <w:szCs w:val="24"/>
        </w:rPr>
        <w:t>Knowledge and Skills</w:t>
      </w:r>
      <w:r w:rsidR="00FF2797">
        <w:rPr>
          <w:b/>
          <w:bCs/>
          <w:sz w:val="24"/>
          <w:szCs w:val="24"/>
        </w:rPr>
        <w:t xml:space="preserve"> of Telehealth Services</w:t>
      </w:r>
      <w:r w:rsidR="00F27168">
        <w:rPr>
          <w:b/>
          <w:bCs/>
          <w:sz w:val="24"/>
          <w:szCs w:val="24"/>
        </w:rPr>
        <w:t xml:space="preserve"> for</w:t>
      </w:r>
      <w:r w:rsidR="00FD1F2B">
        <w:rPr>
          <w:b/>
          <w:bCs/>
          <w:sz w:val="24"/>
          <w:szCs w:val="24"/>
        </w:rPr>
        <w:t xml:space="preserve"> Clinic Personnel</w:t>
      </w:r>
      <w:r>
        <w:rPr>
          <w:b/>
          <w:bCs/>
          <w:sz w:val="24"/>
          <w:szCs w:val="24"/>
        </w:rPr>
        <w:t>.</w:t>
      </w:r>
    </w:p>
    <w:p w14:paraId="4C7B7EE9" w14:textId="0461146D" w:rsidR="00FD1F2B" w:rsidRPr="00DA274A" w:rsidRDefault="00D2201F" w:rsidP="00827349">
      <w:pPr>
        <w:spacing w:after="120"/>
        <w:ind w:firstLine="720"/>
        <w:jc w:val="both"/>
        <w:rPr>
          <w:b/>
          <w:bCs/>
          <w:sz w:val="24"/>
          <w:szCs w:val="24"/>
        </w:rPr>
      </w:pPr>
      <w:r w:rsidRPr="00DA274A">
        <w:rPr>
          <w:b/>
          <w:bCs/>
          <w:sz w:val="24"/>
          <w:szCs w:val="24"/>
        </w:rPr>
        <w:t>(</w:t>
      </w:r>
      <w:r w:rsidR="00DA274A" w:rsidRPr="00DA274A">
        <w:rPr>
          <w:b/>
          <w:bCs/>
          <w:sz w:val="24"/>
          <w:szCs w:val="24"/>
        </w:rPr>
        <w:t>Refer</w:t>
      </w:r>
      <w:r w:rsidRPr="00DA274A">
        <w:rPr>
          <w:b/>
          <w:bCs/>
          <w:sz w:val="24"/>
          <w:szCs w:val="24"/>
        </w:rPr>
        <w:t xml:space="preserve"> to </w:t>
      </w:r>
      <w:r w:rsidR="00FD1F2B" w:rsidRPr="00DA274A">
        <w:rPr>
          <w:b/>
          <w:bCs/>
          <w:sz w:val="24"/>
          <w:szCs w:val="24"/>
        </w:rPr>
        <w:t>RHC/FQHC</w:t>
      </w:r>
      <w:r w:rsidRPr="00DA274A">
        <w:rPr>
          <w:b/>
          <w:bCs/>
          <w:sz w:val="24"/>
          <w:szCs w:val="24"/>
        </w:rPr>
        <w:t xml:space="preserve"> Knowledge and Skills </w:t>
      </w:r>
      <w:r w:rsidR="00953678" w:rsidRPr="00DA274A">
        <w:rPr>
          <w:b/>
          <w:bCs/>
          <w:sz w:val="24"/>
          <w:szCs w:val="24"/>
        </w:rPr>
        <w:t>p</w:t>
      </w:r>
      <w:r w:rsidRPr="00DA274A">
        <w:rPr>
          <w:b/>
          <w:bCs/>
          <w:sz w:val="24"/>
          <w:szCs w:val="24"/>
        </w:rPr>
        <w:t>olicy)</w:t>
      </w:r>
    </w:p>
    <w:p w14:paraId="58D26F66" w14:textId="77777777" w:rsidR="00D2201F" w:rsidRPr="00372068" w:rsidRDefault="00D2201F" w:rsidP="00D2201F">
      <w:pPr>
        <w:pStyle w:val="ListParagraph"/>
        <w:ind w:left="1440"/>
        <w:jc w:val="both"/>
        <w:rPr>
          <w:b/>
          <w:bCs/>
          <w:sz w:val="24"/>
          <w:szCs w:val="24"/>
        </w:rPr>
      </w:pPr>
    </w:p>
    <w:p w14:paraId="068C91C8" w14:textId="5281E652" w:rsidR="001F5CCD" w:rsidRDefault="00D2201F" w:rsidP="00DA274A">
      <w:pPr>
        <w:pStyle w:val="ListParagraph"/>
        <w:numPr>
          <w:ilvl w:val="0"/>
          <w:numId w:val="2"/>
        </w:numPr>
        <w:ind w:left="720" w:hanging="360"/>
        <w:jc w:val="both"/>
        <w:rPr>
          <w:b/>
          <w:bCs/>
          <w:sz w:val="24"/>
          <w:szCs w:val="24"/>
        </w:rPr>
      </w:pPr>
      <w:r>
        <w:rPr>
          <w:b/>
          <w:bCs/>
          <w:sz w:val="24"/>
          <w:szCs w:val="24"/>
        </w:rPr>
        <w:t>Patient Education and Support</w:t>
      </w:r>
      <w:r w:rsidR="00FF2797">
        <w:rPr>
          <w:b/>
          <w:bCs/>
          <w:sz w:val="24"/>
          <w:szCs w:val="24"/>
        </w:rPr>
        <w:t xml:space="preserve"> during the Virtual-Type Visit</w:t>
      </w:r>
      <w:r>
        <w:rPr>
          <w:b/>
          <w:bCs/>
          <w:sz w:val="24"/>
          <w:szCs w:val="24"/>
        </w:rPr>
        <w:t>.</w:t>
      </w:r>
    </w:p>
    <w:p w14:paraId="03652638" w14:textId="5DDB29EF" w:rsidR="00800971" w:rsidRPr="00DA274A" w:rsidRDefault="002A1A10" w:rsidP="00DA274A">
      <w:pPr>
        <w:pStyle w:val="ListParagraph"/>
        <w:numPr>
          <w:ilvl w:val="0"/>
          <w:numId w:val="28"/>
        </w:numPr>
        <w:spacing w:after="0"/>
        <w:ind w:left="1440"/>
        <w:jc w:val="both"/>
        <w:rPr>
          <w:sz w:val="24"/>
          <w:szCs w:val="24"/>
        </w:rPr>
      </w:pPr>
      <w:r w:rsidRPr="00D2201F">
        <w:rPr>
          <w:sz w:val="24"/>
          <w:szCs w:val="24"/>
        </w:rPr>
        <w:t>Provide</w:t>
      </w:r>
      <w:r w:rsidR="00FF2797">
        <w:rPr>
          <w:sz w:val="24"/>
          <w:szCs w:val="24"/>
        </w:rPr>
        <w:t xml:space="preserve"> the patient</w:t>
      </w:r>
      <w:r w:rsidRPr="00D2201F">
        <w:rPr>
          <w:sz w:val="24"/>
          <w:szCs w:val="24"/>
        </w:rPr>
        <w:t xml:space="preserve"> information of </w:t>
      </w:r>
      <w:r w:rsidR="00FF2797">
        <w:rPr>
          <w:sz w:val="24"/>
          <w:szCs w:val="24"/>
        </w:rPr>
        <w:t xml:space="preserve">the </w:t>
      </w:r>
      <w:r w:rsidRPr="00D2201F">
        <w:rPr>
          <w:sz w:val="24"/>
          <w:szCs w:val="24"/>
        </w:rPr>
        <w:t>tele</w:t>
      </w:r>
      <w:r w:rsidR="00452093" w:rsidRPr="00D2201F">
        <w:rPr>
          <w:sz w:val="24"/>
          <w:szCs w:val="24"/>
        </w:rPr>
        <w:t>health process.</w:t>
      </w:r>
    </w:p>
    <w:p w14:paraId="6E4C1A64" w14:textId="3BE4A71E" w:rsidR="00D9517B" w:rsidRPr="00800971" w:rsidRDefault="002A1A10" w:rsidP="00DA274A">
      <w:pPr>
        <w:pStyle w:val="ListParagraph"/>
        <w:numPr>
          <w:ilvl w:val="0"/>
          <w:numId w:val="28"/>
        </w:numPr>
        <w:spacing w:after="0"/>
        <w:ind w:left="1440"/>
        <w:jc w:val="both"/>
        <w:rPr>
          <w:sz w:val="24"/>
          <w:szCs w:val="24"/>
        </w:rPr>
      </w:pPr>
      <w:r>
        <w:rPr>
          <w:sz w:val="24"/>
          <w:szCs w:val="24"/>
        </w:rPr>
        <w:lastRenderedPageBreak/>
        <w:t xml:space="preserve">Ensure </w:t>
      </w:r>
      <w:r w:rsidR="00FF2797">
        <w:rPr>
          <w:sz w:val="24"/>
          <w:szCs w:val="24"/>
        </w:rPr>
        <w:t xml:space="preserve">the patient has </w:t>
      </w:r>
      <w:r>
        <w:rPr>
          <w:sz w:val="24"/>
          <w:szCs w:val="24"/>
        </w:rPr>
        <w:t xml:space="preserve">access to </w:t>
      </w:r>
      <w:r w:rsidR="00FF2797">
        <w:rPr>
          <w:sz w:val="24"/>
          <w:szCs w:val="24"/>
        </w:rPr>
        <w:t xml:space="preserve">a </w:t>
      </w:r>
      <w:r w:rsidR="00F84853">
        <w:rPr>
          <w:sz w:val="24"/>
          <w:szCs w:val="24"/>
        </w:rPr>
        <w:t xml:space="preserve">stable </w:t>
      </w:r>
      <w:r>
        <w:rPr>
          <w:sz w:val="24"/>
          <w:szCs w:val="24"/>
        </w:rPr>
        <w:t>internet and wi-fi connection.</w:t>
      </w:r>
    </w:p>
    <w:p w14:paraId="565A5A02" w14:textId="4E6ACC0C" w:rsidR="002A1A10" w:rsidRDefault="002A1A10" w:rsidP="00DA274A">
      <w:pPr>
        <w:pStyle w:val="ListParagraph"/>
        <w:numPr>
          <w:ilvl w:val="0"/>
          <w:numId w:val="28"/>
        </w:numPr>
        <w:spacing w:after="0"/>
        <w:ind w:left="1440"/>
        <w:jc w:val="both"/>
        <w:rPr>
          <w:sz w:val="24"/>
          <w:szCs w:val="24"/>
        </w:rPr>
      </w:pPr>
      <w:r>
        <w:rPr>
          <w:sz w:val="24"/>
          <w:szCs w:val="24"/>
        </w:rPr>
        <w:t xml:space="preserve">Explain </w:t>
      </w:r>
      <w:r w:rsidR="00246F28">
        <w:rPr>
          <w:sz w:val="24"/>
          <w:szCs w:val="24"/>
        </w:rPr>
        <w:t xml:space="preserve">the </w:t>
      </w:r>
      <w:r>
        <w:rPr>
          <w:sz w:val="24"/>
          <w:szCs w:val="24"/>
        </w:rPr>
        <w:t>appropriate technology</w:t>
      </w:r>
      <w:r w:rsidR="00246F28">
        <w:rPr>
          <w:sz w:val="24"/>
          <w:szCs w:val="24"/>
        </w:rPr>
        <w:t xml:space="preserve"> used</w:t>
      </w:r>
      <w:r>
        <w:rPr>
          <w:sz w:val="24"/>
          <w:szCs w:val="24"/>
        </w:rPr>
        <w:t xml:space="preserve"> for </w:t>
      </w:r>
      <w:r w:rsidR="00246F28">
        <w:rPr>
          <w:sz w:val="24"/>
          <w:szCs w:val="24"/>
        </w:rPr>
        <w:t xml:space="preserve">a </w:t>
      </w:r>
      <w:r>
        <w:rPr>
          <w:sz w:val="24"/>
          <w:szCs w:val="24"/>
        </w:rPr>
        <w:t xml:space="preserve">telehealth </w:t>
      </w:r>
      <w:r w:rsidR="00246F28">
        <w:rPr>
          <w:sz w:val="24"/>
          <w:szCs w:val="24"/>
        </w:rPr>
        <w:t xml:space="preserve">visit </w:t>
      </w:r>
      <w:r>
        <w:rPr>
          <w:sz w:val="24"/>
          <w:szCs w:val="24"/>
        </w:rPr>
        <w:t>(computer, telephone).</w:t>
      </w:r>
    </w:p>
    <w:p w14:paraId="35BA9D74" w14:textId="19939344" w:rsidR="002A1A10" w:rsidRDefault="002A1A10" w:rsidP="00DA274A">
      <w:pPr>
        <w:pStyle w:val="ListParagraph"/>
        <w:numPr>
          <w:ilvl w:val="0"/>
          <w:numId w:val="28"/>
        </w:numPr>
        <w:spacing w:after="0"/>
        <w:ind w:left="1440"/>
        <w:jc w:val="both"/>
        <w:rPr>
          <w:sz w:val="24"/>
          <w:szCs w:val="24"/>
        </w:rPr>
      </w:pPr>
      <w:r>
        <w:rPr>
          <w:sz w:val="24"/>
          <w:szCs w:val="24"/>
        </w:rPr>
        <w:t>Schedule</w:t>
      </w:r>
      <w:r w:rsidR="00246F28">
        <w:rPr>
          <w:sz w:val="24"/>
          <w:szCs w:val="24"/>
        </w:rPr>
        <w:t xml:space="preserve"> the</w:t>
      </w:r>
      <w:r>
        <w:rPr>
          <w:sz w:val="24"/>
          <w:szCs w:val="24"/>
        </w:rPr>
        <w:t xml:space="preserve"> patient with</w:t>
      </w:r>
      <w:r w:rsidR="00246F28">
        <w:rPr>
          <w:sz w:val="24"/>
          <w:szCs w:val="24"/>
        </w:rPr>
        <w:t xml:space="preserve"> an</w:t>
      </w:r>
      <w:r>
        <w:rPr>
          <w:sz w:val="24"/>
          <w:szCs w:val="24"/>
        </w:rPr>
        <w:t xml:space="preserve"> in-home </w:t>
      </w:r>
      <w:r w:rsidR="00F84853">
        <w:rPr>
          <w:sz w:val="24"/>
          <w:szCs w:val="24"/>
        </w:rPr>
        <w:t>pre-</w:t>
      </w:r>
      <w:r>
        <w:rPr>
          <w:sz w:val="24"/>
          <w:szCs w:val="24"/>
        </w:rPr>
        <w:t>visit to set</w:t>
      </w:r>
      <w:r w:rsidR="00C024FC">
        <w:rPr>
          <w:sz w:val="24"/>
          <w:szCs w:val="24"/>
        </w:rPr>
        <w:t xml:space="preserve"> </w:t>
      </w:r>
      <w:r>
        <w:rPr>
          <w:sz w:val="24"/>
          <w:szCs w:val="24"/>
        </w:rPr>
        <w:t xml:space="preserve">up equipment, if needed, or </w:t>
      </w:r>
      <w:r w:rsidR="00F84853">
        <w:rPr>
          <w:sz w:val="24"/>
          <w:szCs w:val="24"/>
        </w:rPr>
        <w:t xml:space="preserve">else </w:t>
      </w:r>
      <w:r>
        <w:rPr>
          <w:sz w:val="24"/>
          <w:szCs w:val="24"/>
        </w:rPr>
        <w:t>provide</w:t>
      </w:r>
      <w:r w:rsidR="00246F28">
        <w:rPr>
          <w:sz w:val="24"/>
          <w:szCs w:val="24"/>
        </w:rPr>
        <w:t xml:space="preserve"> the</w:t>
      </w:r>
      <w:r>
        <w:rPr>
          <w:sz w:val="24"/>
          <w:szCs w:val="24"/>
        </w:rPr>
        <w:t xml:space="preserve"> patient </w:t>
      </w:r>
      <w:r w:rsidR="00F84853">
        <w:rPr>
          <w:sz w:val="24"/>
          <w:szCs w:val="24"/>
        </w:rPr>
        <w:t xml:space="preserve">the option </w:t>
      </w:r>
      <w:r>
        <w:rPr>
          <w:sz w:val="24"/>
          <w:szCs w:val="24"/>
        </w:rPr>
        <w:t xml:space="preserve">to bring their equipment into the office for </w:t>
      </w:r>
      <w:r w:rsidR="00246F28">
        <w:rPr>
          <w:sz w:val="24"/>
          <w:szCs w:val="24"/>
        </w:rPr>
        <w:t xml:space="preserve">a </w:t>
      </w:r>
      <w:r>
        <w:rPr>
          <w:sz w:val="24"/>
          <w:szCs w:val="24"/>
        </w:rPr>
        <w:t>set-up</w:t>
      </w:r>
      <w:r w:rsidR="00012E2A">
        <w:rPr>
          <w:sz w:val="24"/>
          <w:szCs w:val="24"/>
        </w:rPr>
        <w:t xml:space="preserve"> and/or pre-visit test call</w:t>
      </w:r>
      <w:r>
        <w:rPr>
          <w:sz w:val="24"/>
          <w:szCs w:val="24"/>
        </w:rPr>
        <w:t xml:space="preserve">. </w:t>
      </w:r>
    </w:p>
    <w:p w14:paraId="50F7012D" w14:textId="2D5410EC" w:rsidR="002A1A10" w:rsidRDefault="002A1A10" w:rsidP="00DA274A">
      <w:pPr>
        <w:pStyle w:val="ListParagraph"/>
        <w:numPr>
          <w:ilvl w:val="0"/>
          <w:numId w:val="28"/>
        </w:numPr>
        <w:spacing w:after="0"/>
        <w:ind w:left="1440"/>
        <w:jc w:val="both"/>
        <w:rPr>
          <w:sz w:val="24"/>
          <w:szCs w:val="24"/>
        </w:rPr>
      </w:pPr>
      <w:r>
        <w:rPr>
          <w:sz w:val="24"/>
          <w:szCs w:val="24"/>
        </w:rPr>
        <w:t>Supply handouts with step-by-step instructions for accessing online patient portals.</w:t>
      </w:r>
    </w:p>
    <w:p w14:paraId="0D1A0C13" w14:textId="343943FB" w:rsidR="002A1A10" w:rsidRDefault="002A1A10" w:rsidP="00DA274A">
      <w:pPr>
        <w:pStyle w:val="ListParagraph"/>
        <w:numPr>
          <w:ilvl w:val="0"/>
          <w:numId w:val="28"/>
        </w:numPr>
        <w:spacing w:after="0"/>
        <w:ind w:left="1440"/>
        <w:jc w:val="both"/>
        <w:rPr>
          <w:sz w:val="24"/>
          <w:szCs w:val="24"/>
        </w:rPr>
      </w:pPr>
      <w:r>
        <w:rPr>
          <w:sz w:val="24"/>
          <w:szCs w:val="24"/>
        </w:rPr>
        <w:t>Provide</w:t>
      </w:r>
      <w:r w:rsidR="00246F28">
        <w:rPr>
          <w:sz w:val="24"/>
          <w:szCs w:val="24"/>
        </w:rPr>
        <w:t xml:space="preserve"> the</w:t>
      </w:r>
      <w:r>
        <w:rPr>
          <w:sz w:val="24"/>
          <w:szCs w:val="24"/>
        </w:rPr>
        <w:t xml:space="preserve"> patient with phone numbers, email addresses, and websites </w:t>
      </w:r>
      <w:r w:rsidR="0070279B">
        <w:rPr>
          <w:sz w:val="24"/>
          <w:szCs w:val="24"/>
        </w:rPr>
        <w:t>for</w:t>
      </w:r>
      <w:r>
        <w:rPr>
          <w:sz w:val="24"/>
          <w:szCs w:val="24"/>
        </w:rPr>
        <w:t xml:space="preserve"> IT support.</w:t>
      </w:r>
    </w:p>
    <w:p w14:paraId="49F3883B" w14:textId="12BBA3D7" w:rsidR="00B94164" w:rsidRDefault="00B94164" w:rsidP="00DA274A">
      <w:pPr>
        <w:pStyle w:val="ListParagraph"/>
        <w:numPr>
          <w:ilvl w:val="0"/>
          <w:numId w:val="28"/>
        </w:numPr>
        <w:spacing w:after="0"/>
        <w:ind w:left="1440"/>
        <w:jc w:val="both"/>
        <w:rPr>
          <w:sz w:val="24"/>
          <w:szCs w:val="24"/>
        </w:rPr>
      </w:pPr>
      <w:r>
        <w:rPr>
          <w:sz w:val="24"/>
          <w:szCs w:val="24"/>
        </w:rPr>
        <w:t>Consider federal and non-profit organization support for those patients who cannot afford internet or phone services.</w:t>
      </w:r>
    </w:p>
    <w:p w14:paraId="3A51D70A" w14:textId="3991E86D" w:rsidR="00B94164" w:rsidRDefault="00216A55" w:rsidP="00DA274A">
      <w:pPr>
        <w:spacing w:after="0"/>
        <w:ind w:left="720" w:firstLine="720"/>
        <w:jc w:val="both"/>
        <w:rPr>
          <w:sz w:val="24"/>
          <w:szCs w:val="24"/>
        </w:rPr>
      </w:pPr>
      <w:hyperlink r:id="rId12" w:history="1">
        <w:r w:rsidR="00626EC4" w:rsidRPr="00F34F89">
          <w:rPr>
            <w:rStyle w:val="Hyperlink"/>
            <w:sz w:val="24"/>
            <w:szCs w:val="24"/>
          </w:rPr>
          <w:t>https://telehealth.hhs.gov/providers/preparing-patients-for-telehealth/</w:t>
        </w:r>
      </w:hyperlink>
      <w:r w:rsidR="00B94164">
        <w:rPr>
          <w:sz w:val="24"/>
          <w:szCs w:val="24"/>
        </w:rPr>
        <w:t xml:space="preserve"> </w:t>
      </w:r>
    </w:p>
    <w:p w14:paraId="65341CA2" w14:textId="7C1EA79C" w:rsidR="001F0084" w:rsidRPr="008B14BA" w:rsidRDefault="00827349" w:rsidP="008B14BA">
      <w:pPr>
        <w:rPr>
          <w:b/>
          <w:bCs/>
          <w:i/>
          <w:iCs/>
          <w:sz w:val="32"/>
          <w:szCs w:val="32"/>
        </w:rPr>
      </w:pPr>
      <w:r>
        <w:rPr>
          <w:noProof/>
          <w:sz w:val="24"/>
          <w:szCs w:val="24"/>
        </w:rPr>
        <mc:AlternateContent>
          <mc:Choice Requires="wps">
            <w:drawing>
              <wp:anchor distT="0" distB="0" distL="114300" distR="114300" simplePos="0" relativeHeight="251661312" behindDoc="0" locked="0" layoutInCell="1" allowOverlap="1" wp14:anchorId="11634D7B" wp14:editId="3C1B10F6">
                <wp:simplePos x="0" y="0"/>
                <wp:positionH relativeFrom="column">
                  <wp:posOffset>-57150</wp:posOffset>
                </wp:positionH>
                <wp:positionV relativeFrom="paragraph">
                  <wp:posOffset>304800</wp:posOffset>
                </wp:positionV>
                <wp:extent cx="6057900" cy="2000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57900" cy="20002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7976C" id="Rectangle 2" o:spid="_x0000_s1026" style="position:absolute;margin-left:-4.5pt;margin-top:24pt;width:477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" filled="f" strokecolor="#7f7f7f"/>
            </w:pict>
          </mc:Fallback>
        </mc:AlternateContent>
      </w:r>
    </w:p>
    <w:p w14:paraId="314C0454" w14:textId="191843FF" w:rsidR="008B14BA" w:rsidRPr="008B14BA" w:rsidRDefault="008B14BA" w:rsidP="00DA274A">
      <w:pPr>
        <w:pStyle w:val="ListParagraph"/>
        <w:shd w:val="clear" w:color="auto" w:fill="D9E2F3" w:themeFill="accent1" w:themeFillTint="33"/>
        <w:ind w:left="1260" w:hanging="1170"/>
        <w:rPr>
          <w:b/>
          <w:bCs/>
          <w:i/>
          <w:iCs/>
          <w:sz w:val="28"/>
          <w:szCs w:val="28"/>
        </w:rPr>
      </w:pPr>
      <w:r w:rsidRPr="008B14BA">
        <w:rPr>
          <w:b/>
          <w:bCs/>
          <w:i/>
          <w:iCs/>
          <w:sz w:val="28"/>
          <w:szCs w:val="28"/>
        </w:rPr>
        <w:t>TIPS</w:t>
      </w:r>
      <w:r w:rsidR="00DA274A">
        <w:rPr>
          <w:b/>
          <w:bCs/>
          <w:i/>
          <w:iCs/>
          <w:sz w:val="28"/>
          <w:szCs w:val="28"/>
        </w:rPr>
        <w:t>:</w:t>
      </w:r>
    </w:p>
    <w:p w14:paraId="22E6E7A9" w14:textId="72DC5A76" w:rsidR="008B14BA" w:rsidRDefault="001F0084" w:rsidP="00DA274A">
      <w:pPr>
        <w:pStyle w:val="ListParagraph"/>
        <w:numPr>
          <w:ilvl w:val="0"/>
          <w:numId w:val="43"/>
        </w:numPr>
        <w:shd w:val="clear" w:color="auto" w:fill="D9E2F3" w:themeFill="accent1" w:themeFillTint="33"/>
        <w:ind w:left="450"/>
        <w:jc w:val="both"/>
        <w:rPr>
          <w:i/>
          <w:iCs/>
          <w:sz w:val="24"/>
          <w:szCs w:val="24"/>
        </w:rPr>
      </w:pPr>
      <w:r w:rsidRPr="001F0084">
        <w:rPr>
          <w:i/>
          <w:iCs/>
          <w:sz w:val="24"/>
          <w:szCs w:val="24"/>
        </w:rPr>
        <w:t xml:space="preserve">Patients should be advised of video platform considerations prior to meeting with their physician or practitioner. Wi-fi connectivity should be confirmed and tested. </w:t>
      </w:r>
    </w:p>
    <w:p w14:paraId="133D39EC" w14:textId="16A3433B" w:rsidR="001F0084" w:rsidRDefault="001F0084" w:rsidP="00DA274A">
      <w:pPr>
        <w:pStyle w:val="ListParagraph"/>
        <w:numPr>
          <w:ilvl w:val="0"/>
          <w:numId w:val="43"/>
        </w:numPr>
        <w:shd w:val="clear" w:color="auto" w:fill="D9E2F3" w:themeFill="accent1" w:themeFillTint="33"/>
        <w:ind w:left="450"/>
        <w:jc w:val="both"/>
        <w:rPr>
          <w:i/>
          <w:iCs/>
          <w:sz w:val="24"/>
          <w:szCs w:val="24"/>
        </w:rPr>
      </w:pPr>
      <w:r>
        <w:rPr>
          <w:i/>
          <w:iCs/>
          <w:sz w:val="24"/>
          <w:szCs w:val="24"/>
        </w:rPr>
        <w:t>Provider</w:t>
      </w:r>
      <w:r w:rsidR="004C5A6D">
        <w:rPr>
          <w:i/>
          <w:iCs/>
          <w:sz w:val="24"/>
          <w:szCs w:val="24"/>
        </w:rPr>
        <w:t>s</w:t>
      </w:r>
      <w:r>
        <w:rPr>
          <w:i/>
          <w:iCs/>
          <w:sz w:val="24"/>
          <w:szCs w:val="24"/>
        </w:rPr>
        <w:t xml:space="preserve"> should notify patients that any third-party application </w:t>
      </w:r>
      <w:r w:rsidR="008B14BA">
        <w:rPr>
          <w:i/>
          <w:iCs/>
          <w:sz w:val="24"/>
          <w:szCs w:val="24"/>
        </w:rPr>
        <w:t xml:space="preserve">could </w:t>
      </w:r>
      <w:r>
        <w:rPr>
          <w:i/>
          <w:iCs/>
          <w:sz w:val="24"/>
          <w:szCs w:val="24"/>
        </w:rPr>
        <w:t xml:space="preserve">potentially introduce privacy risks, and providers should enable all available encryption and privacy modes when using such applications. </w:t>
      </w:r>
    </w:p>
    <w:p w14:paraId="0E1728C8" w14:textId="77BBC1C5" w:rsidR="00C56888" w:rsidRDefault="00C56888" w:rsidP="00DA274A">
      <w:pPr>
        <w:pStyle w:val="ListParagraph"/>
        <w:numPr>
          <w:ilvl w:val="0"/>
          <w:numId w:val="43"/>
        </w:numPr>
        <w:shd w:val="clear" w:color="auto" w:fill="D9E2F3" w:themeFill="accent1" w:themeFillTint="33"/>
        <w:ind w:left="450"/>
        <w:jc w:val="both"/>
        <w:rPr>
          <w:i/>
          <w:iCs/>
          <w:sz w:val="24"/>
          <w:szCs w:val="24"/>
        </w:rPr>
      </w:pPr>
      <w:r>
        <w:rPr>
          <w:i/>
          <w:iCs/>
          <w:sz w:val="24"/>
          <w:szCs w:val="24"/>
        </w:rPr>
        <w:t>Pr</w:t>
      </w:r>
      <w:r w:rsidR="004C5A6D">
        <w:rPr>
          <w:i/>
          <w:iCs/>
          <w:sz w:val="24"/>
          <w:szCs w:val="24"/>
        </w:rPr>
        <w:t>actices</w:t>
      </w:r>
      <w:r>
        <w:rPr>
          <w:i/>
          <w:iCs/>
          <w:sz w:val="24"/>
          <w:szCs w:val="24"/>
        </w:rPr>
        <w:t xml:space="preserve"> need to determine if business associate agreement</w:t>
      </w:r>
      <w:r w:rsidR="00E85455">
        <w:rPr>
          <w:i/>
          <w:iCs/>
          <w:sz w:val="24"/>
          <w:szCs w:val="24"/>
        </w:rPr>
        <w:t>s</w:t>
      </w:r>
      <w:r>
        <w:rPr>
          <w:i/>
          <w:iCs/>
          <w:sz w:val="24"/>
          <w:szCs w:val="24"/>
        </w:rPr>
        <w:t xml:space="preserve"> (BAA) with the platform</w:t>
      </w:r>
      <w:r w:rsidR="00E85455">
        <w:rPr>
          <w:i/>
          <w:iCs/>
          <w:sz w:val="24"/>
          <w:szCs w:val="24"/>
        </w:rPr>
        <w:t xml:space="preserve"> vendor and other facilities are</w:t>
      </w:r>
      <w:r>
        <w:rPr>
          <w:i/>
          <w:iCs/>
          <w:sz w:val="24"/>
          <w:szCs w:val="24"/>
        </w:rPr>
        <w:t xml:space="preserve"> in place to ensure HIPAA compliance</w:t>
      </w:r>
      <w:r w:rsidR="00F84853">
        <w:rPr>
          <w:i/>
          <w:iCs/>
          <w:sz w:val="24"/>
          <w:szCs w:val="24"/>
        </w:rPr>
        <w:t>.</w:t>
      </w:r>
    </w:p>
    <w:p w14:paraId="71FFAFD3" w14:textId="5C41C3AB" w:rsidR="008B14BA" w:rsidRPr="001F0084" w:rsidRDefault="008B14BA" w:rsidP="00DA274A">
      <w:pPr>
        <w:pStyle w:val="ListParagraph"/>
        <w:numPr>
          <w:ilvl w:val="0"/>
          <w:numId w:val="43"/>
        </w:numPr>
        <w:shd w:val="clear" w:color="auto" w:fill="D9E2F3" w:themeFill="accent1" w:themeFillTint="33"/>
        <w:ind w:left="450"/>
        <w:jc w:val="both"/>
        <w:rPr>
          <w:i/>
          <w:iCs/>
          <w:sz w:val="24"/>
          <w:szCs w:val="24"/>
        </w:rPr>
      </w:pPr>
      <w:r>
        <w:rPr>
          <w:i/>
          <w:iCs/>
          <w:sz w:val="24"/>
          <w:szCs w:val="24"/>
        </w:rPr>
        <w:t xml:space="preserve">Consider superusers to specifically provide patient education and 1:1 support.  </w:t>
      </w:r>
    </w:p>
    <w:p w14:paraId="1F498E38" w14:textId="513B6FCA" w:rsidR="00A7374C" w:rsidRPr="0070279B" w:rsidRDefault="00A7374C" w:rsidP="0070279B">
      <w:pPr>
        <w:jc w:val="both"/>
        <w:rPr>
          <w:sz w:val="24"/>
          <w:szCs w:val="24"/>
        </w:rPr>
      </w:pPr>
    </w:p>
    <w:p w14:paraId="3630E221" w14:textId="2CCEF8DE" w:rsidR="00F64110" w:rsidRDefault="00F64110" w:rsidP="00F64110">
      <w:pPr>
        <w:pStyle w:val="ListParagraph"/>
        <w:ind w:left="1800"/>
        <w:jc w:val="both"/>
        <w:rPr>
          <w:sz w:val="24"/>
          <w:szCs w:val="24"/>
        </w:rPr>
      </w:pPr>
    </w:p>
    <w:p w14:paraId="20BC19C7" w14:textId="65229E45" w:rsidR="0070279B" w:rsidRPr="0070279B" w:rsidRDefault="0070279B" w:rsidP="0070279B">
      <w:pPr>
        <w:jc w:val="center"/>
      </w:pPr>
    </w:p>
    <w:sectPr w:rsidR="0070279B" w:rsidRPr="0070279B" w:rsidSect="00DA274A">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71DC" w14:textId="77777777" w:rsidR="00216A55" w:rsidRDefault="00216A55" w:rsidP="003757F1">
      <w:pPr>
        <w:spacing w:after="0" w:line="240" w:lineRule="auto"/>
      </w:pPr>
      <w:r>
        <w:separator/>
      </w:r>
    </w:p>
  </w:endnote>
  <w:endnote w:type="continuationSeparator" w:id="0">
    <w:p w14:paraId="45DE82E0" w14:textId="77777777" w:rsidR="00216A55" w:rsidRDefault="00216A55" w:rsidP="0037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ZIHOM+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BDF" w14:textId="097D63E1" w:rsidR="00DA274A" w:rsidRPr="00DE4F81" w:rsidRDefault="00DA274A" w:rsidP="00DA274A">
    <w:pPr>
      <w:pStyle w:val="Header"/>
      <w:rPr>
        <w:sz w:val="18"/>
        <w:szCs w:val="18"/>
      </w:rPr>
    </w:pPr>
    <w:bookmarkStart w:id="1" w:name="_Hlk70408752"/>
    <w:bookmarkStart w:id="2" w:name="_Hlk70417957"/>
    <w:bookmarkStart w:id="3" w:name="_Hlk70417958"/>
    <w:bookmarkStart w:id="4" w:name="_Hlk70420387"/>
    <w:bookmarkStart w:id="5" w:name="_Hlk70420388"/>
    <w:bookmarkStart w:id="6" w:name="_Hlk70420955"/>
    <w:bookmarkStart w:id="7" w:name="_Hlk70420956"/>
    <w:bookmarkStart w:id="8" w:name="_Hlk70422814"/>
    <w:bookmarkStart w:id="9" w:name="_Hlk70422815"/>
    <w:bookmarkStart w:id="10" w:name="_Hlk70422816"/>
    <w:bookmarkStart w:id="11" w:name="_Hlk70422817"/>
    <w:bookmarkStart w:id="12" w:name="_Hlk70432432"/>
    <w:bookmarkStart w:id="13" w:name="_Hlk70432433"/>
    <w:bookmarkStart w:id="14" w:name="_Hlk70432434"/>
    <w:bookmarkStart w:id="15" w:name="_Hlk70432435"/>
    <w:bookmarkStart w:id="16" w:name="_Hlk70432436"/>
    <w:bookmarkStart w:id="17" w:name="_Hlk70432437"/>
    <w:bookmarkStart w:id="18" w:name="_Hlk70432810"/>
    <w:bookmarkStart w:id="19" w:name="_Hlk70432811"/>
    <w:bookmarkStart w:id="20" w:name="_Hlk70510717"/>
    <w:bookmarkStart w:id="21" w:name="_Hlk70510718"/>
    <w:bookmarkStart w:id="22" w:name="_Hlk70511928"/>
    <w:bookmarkStart w:id="23" w:name="_Hlk70511929"/>
    <w:bookmarkStart w:id="24" w:name="_Hlk70596552"/>
    <w:r w:rsidRPr="00DE4F81">
      <w:rPr>
        <w:noProof/>
        <w:sz w:val="18"/>
        <w:szCs w:val="18"/>
      </w:rPr>
      <mc:AlternateContent>
        <mc:Choice Requires="wps">
          <w:drawing>
            <wp:anchor distT="0" distB="0" distL="114300" distR="114300" simplePos="0" relativeHeight="251659264" behindDoc="0" locked="0" layoutInCell="1" allowOverlap="1" wp14:anchorId="2B598CFF" wp14:editId="2582EB0E">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BE1D58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3BA73757" w14:textId="77777777" w:rsidR="00DA274A" w:rsidRPr="00DE4F81" w:rsidRDefault="00DA274A" w:rsidP="00DA274A">
    <w:pPr>
      <w:pStyle w:val="NormalWeb"/>
      <w:spacing w:before="0" w:beforeAutospacing="0" w:after="0" w:afterAutospacing="0"/>
      <w:rPr>
        <w:color w:val="222222"/>
        <w:sz w:val="14"/>
        <w:szCs w:val="14"/>
        <w:shd w:val="clear" w:color="auto" w:fill="FFFFFF"/>
      </w:rPr>
    </w:pPr>
  </w:p>
  <w:p w14:paraId="3D5A868D" w14:textId="2A6D5EFE" w:rsidR="000F3CF9" w:rsidRPr="00DA274A" w:rsidRDefault="00DA274A" w:rsidP="00DA274A">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D661" w14:textId="77777777" w:rsidR="00216A55" w:rsidRDefault="00216A55" w:rsidP="003757F1">
      <w:pPr>
        <w:spacing w:after="0" w:line="240" w:lineRule="auto"/>
      </w:pPr>
      <w:r>
        <w:separator/>
      </w:r>
    </w:p>
  </w:footnote>
  <w:footnote w:type="continuationSeparator" w:id="0">
    <w:p w14:paraId="2A99BA1D" w14:textId="77777777" w:rsidR="00216A55" w:rsidRDefault="00216A55" w:rsidP="0037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536321"/>
      <w:docPartObj>
        <w:docPartGallery w:val="Page Numbers (Top of Page)"/>
        <w:docPartUnique/>
      </w:docPartObj>
    </w:sdtPr>
    <w:sdtContent>
      <w:p w14:paraId="42AE34BC" w14:textId="77777777" w:rsidR="00DA274A" w:rsidRDefault="00DA274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30E06E1" w14:textId="77777777" w:rsidR="00DA274A" w:rsidRDefault="00DA2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328A4E6" w14:textId="03AEDFDF" w:rsidR="00040403" w:rsidRDefault="00DA274A" w:rsidP="00040403">
        <w:pPr>
          <w:pStyle w:val="Header"/>
          <w:rPr>
            <w:b/>
            <w:bCs/>
            <w:sz w:val="24"/>
            <w:szCs w:val="24"/>
          </w:rPr>
        </w:pPr>
        <w:r>
          <w:rPr>
            <w:noProof/>
          </w:rPr>
          <w:drawing>
            <wp:anchor distT="0" distB="0" distL="114300" distR="114300" simplePos="0" relativeHeight="251661312" behindDoc="1" locked="0" layoutInCell="1" allowOverlap="1" wp14:anchorId="05143D54" wp14:editId="1107DE34">
              <wp:simplePos x="0" y="0"/>
              <wp:positionH relativeFrom="column">
                <wp:posOffset>4876800</wp:posOffset>
              </wp:positionH>
              <wp:positionV relativeFrom="paragraph">
                <wp:posOffset>-20320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040403">
          <w:t xml:space="preserve">Page </w:t>
        </w:r>
        <w:r w:rsidR="00040403">
          <w:rPr>
            <w:b/>
            <w:bCs/>
            <w:sz w:val="24"/>
            <w:szCs w:val="24"/>
          </w:rPr>
          <w:fldChar w:fldCharType="begin"/>
        </w:r>
        <w:r w:rsidR="00040403">
          <w:rPr>
            <w:b/>
            <w:bCs/>
          </w:rPr>
          <w:instrText xml:space="preserve"> PAGE </w:instrText>
        </w:r>
        <w:r w:rsidR="00040403">
          <w:rPr>
            <w:b/>
            <w:bCs/>
            <w:sz w:val="24"/>
            <w:szCs w:val="24"/>
          </w:rPr>
          <w:fldChar w:fldCharType="separate"/>
        </w:r>
        <w:r w:rsidR="00040403">
          <w:rPr>
            <w:b/>
            <w:bCs/>
            <w:noProof/>
          </w:rPr>
          <w:t>2</w:t>
        </w:r>
        <w:r w:rsidR="00040403">
          <w:rPr>
            <w:b/>
            <w:bCs/>
            <w:sz w:val="24"/>
            <w:szCs w:val="24"/>
          </w:rPr>
          <w:fldChar w:fldCharType="end"/>
        </w:r>
        <w:r w:rsidR="00040403">
          <w:t xml:space="preserve"> of </w:t>
        </w:r>
        <w:r w:rsidR="00040403">
          <w:rPr>
            <w:b/>
            <w:bCs/>
            <w:sz w:val="24"/>
            <w:szCs w:val="24"/>
          </w:rPr>
          <w:fldChar w:fldCharType="begin"/>
        </w:r>
        <w:r w:rsidR="00040403">
          <w:rPr>
            <w:b/>
            <w:bCs/>
          </w:rPr>
          <w:instrText xml:space="preserve"> NUMPAGES  </w:instrText>
        </w:r>
        <w:r w:rsidR="00040403">
          <w:rPr>
            <w:b/>
            <w:bCs/>
            <w:sz w:val="24"/>
            <w:szCs w:val="24"/>
          </w:rPr>
          <w:fldChar w:fldCharType="separate"/>
        </w:r>
        <w:r w:rsidR="00040403">
          <w:rPr>
            <w:b/>
            <w:bCs/>
            <w:noProof/>
          </w:rPr>
          <w:t>2</w:t>
        </w:r>
        <w:r w:rsidR="00040403">
          <w:rPr>
            <w:b/>
            <w:bCs/>
            <w:sz w:val="24"/>
            <w:szCs w:val="24"/>
          </w:rPr>
          <w:fldChar w:fldCharType="end"/>
        </w:r>
        <w:r w:rsidR="00040403">
          <w:rPr>
            <w:b/>
            <w:bCs/>
            <w:sz w:val="24"/>
            <w:szCs w:val="24"/>
          </w:rPr>
          <w:t xml:space="preserve">                                             </w:t>
        </w:r>
      </w:p>
      <w:p w14:paraId="78C9B190" w14:textId="0F3F1FAD" w:rsidR="00040403" w:rsidRPr="00DA274A" w:rsidRDefault="00A53C9F" w:rsidP="00040403">
        <w:pPr>
          <w:pStyle w:val="Header"/>
          <w:jc w:val="center"/>
          <w:rPr>
            <w:b/>
            <w:bCs/>
            <w:color w:val="FF0000"/>
            <w:sz w:val="28"/>
            <w:szCs w:val="28"/>
          </w:rPr>
        </w:pPr>
        <w:r w:rsidRPr="00DA274A">
          <w:rPr>
            <w:b/>
            <w:bCs/>
            <w:color w:val="FF0000"/>
            <w:sz w:val="28"/>
            <w:szCs w:val="28"/>
          </w:rPr>
          <w:t>Rural Health Clinic/Federally Qualified Health Center</w:t>
        </w:r>
      </w:p>
      <w:p w14:paraId="65975236" w14:textId="2E747FF6" w:rsidR="003757F1" w:rsidRDefault="00040403" w:rsidP="00040403">
        <w:pPr>
          <w:pStyle w:val="Header"/>
          <w:jc w:val="center"/>
        </w:pPr>
        <w:r w:rsidRPr="00040403">
          <w:rPr>
            <w:b/>
            <w:bCs/>
            <w:sz w:val="28"/>
            <w:szCs w:val="28"/>
          </w:rPr>
          <w:t>Technology for Telehealth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60B"/>
    <w:multiLevelType w:val="hybridMultilevel"/>
    <w:tmpl w:val="215663D8"/>
    <w:lvl w:ilvl="0" w:tplc="14AA04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1A5A1A"/>
    <w:multiLevelType w:val="hybridMultilevel"/>
    <w:tmpl w:val="C10A1194"/>
    <w:lvl w:ilvl="0" w:tplc="CDDC30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682B2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E812A50"/>
    <w:multiLevelType w:val="hybridMultilevel"/>
    <w:tmpl w:val="846A79C4"/>
    <w:lvl w:ilvl="0" w:tplc="037C2F5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2C44A4"/>
    <w:multiLevelType w:val="hybridMultilevel"/>
    <w:tmpl w:val="1E96A28A"/>
    <w:lvl w:ilvl="0" w:tplc="CD42DA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891C04"/>
    <w:multiLevelType w:val="hybridMultilevel"/>
    <w:tmpl w:val="70BC5704"/>
    <w:lvl w:ilvl="0" w:tplc="C4AA20C4">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A3708B"/>
    <w:multiLevelType w:val="hybridMultilevel"/>
    <w:tmpl w:val="93A47EE4"/>
    <w:lvl w:ilvl="0" w:tplc="B3D483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6506BF"/>
    <w:multiLevelType w:val="hybridMultilevel"/>
    <w:tmpl w:val="FDDA50EA"/>
    <w:lvl w:ilvl="0" w:tplc="2666886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EC426F"/>
    <w:multiLevelType w:val="hybridMultilevel"/>
    <w:tmpl w:val="DE0C0A6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64D2D5E"/>
    <w:multiLevelType w:val="hybridMultilevel"/>
    <w:tmpl w:val="044E9BC0"/>
    <w:lvl w:ilvl="0" w:tplc="A2FC082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C65589"/>
    <w:multiLevelType w:val="hybridMultilevel"/>
    <w:tmpl w:val="9FBA0F1E"/>
    <w:lvl w:ilvl="0" w:tplc="319ED9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E4B5ADF"/>
    <w:multiLevelType w:val="hybridMultilevel"/>
    <w:tmpl w:val="B1B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765D1"/>
    <w:multiLevelType w:val="hybridMultilevel"/>
    <w:tmpl w:val="6D34D7E6"/>
    <w:lvl w:ilvl="0" w:tplc="74543E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B607D1"/>
    <w:multiLevelType w:val="hybridMultilevel"/>
    <w:tmpl w:val="5D88C6B2"/>
    <w:lvl w:ilvl="0" w:tplc="130AB0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4DB6D73"/>
    <w:multiLevelType w:val="hybridMultilevel"/>
    <w:tmpl w:val="15C2F532"/>
    <w:lvl w:ilvl="0" w:tplc="4EA0A6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66C082F"/>
    <w:multiLevelType w:val="hybridMultilevel"/>
    <w:tmpl w:val="93F0F7E2"/>
    <w:lvl w:ilvl="0" w:tplc="EF287F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7031E4C"/>
    <w:multiLevelType w:val="hybridMultilevel"/>
    <w:tmpl w:val="865267B6"/>
    <w:lvl w:ilvl="0" w:tplc="F3FA5C6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A3428C6"/>
    <w:multiLevelType w:val="hybridMultilevel"/>
    <w:tmpl w:val="0F8A8142"/>
    <w:lvl w:ilvl="0" w:tplc="D76A91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504543"/>
    <w:multiLevelType w:val="hybridMultilevel"/>
    <w:tmpl w:val="C3C04EA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7C4266"/>
    <w:multiLevelType w:val="hybridMultilevel"/>
    <w:tmpl w:val="4468A76C"/>
    <w:lvl w:ilvl="0" w:tplc="68B44342">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FB55152"/>
    <w:multiLevelType w:val="hybridMultilevel"/>
    <w:tmpl w:val="E1A661A4"/>
    <w:lvl w:ilvl="0" w:tplc="AD32D9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D812C2"/>
    <w:multiLevelType w:val="hybridMultilevel"/>
    <w:tmpl w:val="9B381D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D397F"/>
    <w:multiLevelType w:val="hybridMultilevel"/>
    <w:tmpl w:val="DC320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3DB7268"/>
    <w:multiLevelType w:val="hybridMultilevel"/>
    <w:tmpl w:val="0F660AC2"/>
    <w:lvl w:ilvl="0" w:tplc="F4526F6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9E87FDC"/>
    <w:multiLevelType w:val="hybridMultilevel"/>
    <w:tmpl w:val="F822D426"/>
    <w:lvl w:ilvl="0" w:tplc="AC6298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B5B23DB"/>
    <w:multiLevelType w:val="hybridMultilevel"/>
    <w:tmpl w:val="A4525AF0"/>
    <w:lvl w:ilvl="0" w:tplc="5FF81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022215"/>
    <w:multiLevelType w:val="hybridMultilevel"/>
    <w:tmpl w:val="C996FDCC"/>
    <w:lvl w:ilvl="0" w:tplc="42C61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0307928"/>
    <w:multiLevelType w:val="hybridMultilevel"/>
    <w:tmpl w:val="17BE28F2"/>
    <w:lvl w:ilvl="0" w:tplc="C62030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456296F"/>
    <w:multiLevelType w:val="hybridMultilevel"/>
    <w:tmpl w:val="C59EF2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CC0948"/>
    <w:multiLevelType w:val="hybridMultilevel"/>
    <w:tmpl w:val="84E0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FC38BA"/>
    <w:multiLevelType w:val="hybridMultilevel"/>
    <w:tmpl w:val="7194C5FC"/>
    <w:lvl w:ilvl="0" w:tplc="3FF06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93DE5"/>
    <w:multiLevelType w:val="hybridMultilevel"/>
    <w:tmpl w:val="0A581B94"/>
    <w:lvl w:ilvl="0" w:tplc="BB066A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81262F1"/>
    <w:multiLevelType w:val="hybridMultilevel"/>
    <w:tmpl w:val="77765FEA"/>
    <w:lvl w:ilvl="0" w:tplc="6E868E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8D102D3"/>
    <w:multiLevelType w:val="hybridMultilevel"/>
    <w:tmpl w:val="582C2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D7217A5"/>
    <w:multiLevelType w:val="hybridMultilevel"/>
    <w:tmpl w:val="706C631C"/>
    <w:lvl w:ilvl="0" w:tplc="DA1A95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F940AC5"/>
    <w:multiLevelType w:val="hybridMultilevel"/>
    <w:tmpl w:val="B2388E1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76C5E0B"/>
    <w:multiLevelType w:val="multilevel"/>
    <w:tmpl w:val="7B109B62"/>
    <w:lvl w:ilvl="0">
      <w:start w:val="1"/>
      <w:numFmt w:val="upperRoman"/>
      <w:lvlText w:val="%1."/>
      <w:lvlJc w:val="left"/>
      <w:pPr>
        <w:ind w:left="1440" w:hanging="720"/>
      </w:pPr>
      <w:rPr>
        <w:rFonts w:asciiTheme="minorHAnsi" w:eastAsiaTheme="minorHAnsi" w:hAnsiTheme="minorHAnsi" w:cstheme="minorBidi"/>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9" w15:restartNumberingAfterBreak="0">
    <w:nsid w:val="70FE15D3"/>
    <w:multiLevelType w:val="multilevel"/>
    <w:tmpl w:val="077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F24D8"/>
    <w:multiLevelType w:val="hybridMultilevel"/>
    <w:tmpl w:val="A5A64A64"/>
    <w:lvl w:ilvl="0" w:tplc="3AAC6092">
      <w:start w:val="1"/>
      <w:numFmt w:val="upperLetter"/>
      <w:lvlText w:val="%1."/>
      <w:lvlJc w:val="left"/>
      <w:pPr>
        <w:ind w:left="2160" w:hanging="360"/>
      </w:pPr>
      <w:rPr>
        <w:rFonts w:asciiTheme="minorHAnsi" w:eastAsiaTheme="minorHAnsi" w:hAnsiTheme="minorHAnsi" w:cstheme="minorBidi"/>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51732F4"/>
    <w:multiLevelType w:val="hybridMultilevel"/>
    <w:tmpl w:val="00E489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F0B2D1C"/>
    <w:multiLevelType w:val="hybridMultilevel"/>
    <w:tmpl w:val="DC1CC8AC"/>
    <w:lvl w:ilvl="0" w:tplc="B1C680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8"/>
  </w:num>
  <w:num w:numId="3">
    <w:abstractNumId w:val="30"/>
  </w:num>
  <w:num w:numId="4">
    <w:abstractNumId w:val="18"/>
  </w:num>
  <w:num w:numId="5">
    <w:abstractNumId w:val="9"/>
  </w:num>
  <w:num w:numId="6">
    <w:abstractNumId w:val="40"/>
  </w:num>
  <w:num w:numId="7">
    <w:abstractNumId w:val="41"/>
  </w:num>
  <w:num w:numId="8">
    <w:abstractNumId w:val="27"/>
  </w:num>
  <w:num w:numId="9">
    <w:abstractNumId w:val="12"/>
  </w:num>
  <w:num w:numId="10">
    <w:abstractNumId w:val="8"/>
  </w:num>
  <w:num w:numId="11">
    <w:abstractNumId w:val="25"/>
  </w:num>
  <w:num w:numId="12">
    <w:abstractNumId w:val="19"/>
  </w:num>
  <w:num w:numId="13">
    <w:abstractNumId w:val="36"/>
  </w:num>
  <w:num w:numId="14">
    <w:abstractNumId w:val="1"/>
  </w:num>
  <w:num w:numId="15">
    <w:abstractNumId w:val="16"/>
  </w:num>
  <w:num w:numId="16">
    <w:abstractNumId w:val="7"/>
  </w:num>
  <w:num w:numId="17">
    <w:abstractNumId w:val="34"/>
  </w:num>
  <w:num w:numId="18">
    <w:abstractNumId w:val="42"/>
  </w:num>
  <w:num w:numId="19">
    <w:abstractNumId w:val="39"/>
  </w:num>
  <w:num w:numId="20">
    <w:abstractNumId w:val="11"/>
  </w:num>
  <w:num w:numId="21">
    <w:abstractNumId w:val="23"/>
  </w:num>
  <w:num w:numId="22">
    <w:abstractNumId w:val="31"/>
  </w:num>
  <w:num w:numId="23">
    <w:abstractNumId w:val="35"/>
  </w:num>
  <w:num w:numId="24">
    <w:abstractNumId w:val="6"/>
  </w:num>
  <w:num w:numId="25">
    <w:abstractNumId w:val="17"/>
  </w:num>
  <w:num w:numId="26">
    <w:abstractNumId w:val="14"/>
  </w:num>
  <w:num w:numId="27">
    <w:abstractNumId w:val="4"/>
  </w:num>
  <w:num w:numId="28">
    <w:abstractNumId w:val="5"/>
  </w:num>
  <w:num w:numId="29">
    <w:abstractNumId w:val="22"/>
  </w:num>
  <w:num w:numId="30">
    <w:abstractNumId w:val="3"/>
  </w:num>
  <w:num w:numId="31">
    <w:abstractNumId w:val="28"/>
  </w:num>
  <w:num w:numId="32">
    <w:abstractNumId w:val="10"/>
  </w:num>
  <w:num w:numId="33">
    <w:abstractNumId w:val="20"/>
  </w:num>
  <w:num w:numId="34">
    <w:abstractNumId w:val="24"/>
  </w:num>
  <w:num w:numId="35">
    <w:abstractNumId w:val="29"/>
  </w:num>
  <w:num w:numId="36">
    <w:abstractNumId w:val="26"/>
  </w:num>
  <w:num w:numId="37">
    <w:abstractNumId w:val="33"/>
  </w:num>
  <w:num w:numId="38">
    <w:abstractNumId w:val="15"/>
  </w:num>
  <w:num w:numId="39">
    <w:abstractNumId w:val="0"/>
  </w:num>
  <w:num w:numId="40">
    <w:abstractNumId w:val="37"/>
  </w:num>
  <w:num w:numId="41">
    <w:abstractNumId w:val="13"/>
  </w:num>
  <w:num w:numId="42">
    <w:abstractNumId w:val="32"/>
  </w:num>
  <w:num w:numId="4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F1"/>
    <w:rsid w:val="00001A1C"/>
    <w:rsid w:val="00012E2A"/>
    <w:rsid w:val="00036C23"/>
    <w:rsid w:val="00040403"/>
    <w:rsid w:val="0004276F"/>
    <w:rsid w:val="00047500"/>
    <w:rsid w:val="000544B1"/>
    <w:rsid w:val="000A2743"/>
    <w:rsid w:val="000A2862"/>
    <w:rsid w:val="000A6988"/>
    <w:rsid w:val="000F3CF9"/>
    <w:rsid w:val="00100DBF"/>
    <w:rsid w:val="00135E84"/>
    <w:rsid w:val="001563F9"/>
    <w:rsid w:val="001845C4"/>
    <w:rsid w:val="00194529"/>
    <w:rsid w:val="001A1F03"/>
    <w:rsid w:val="001A42C7"/>
    <w:rsid w:val="001B6C86"/>
    <w:rsid w:val="001C1229"/>
    <w:rsid w:val="001C74CE"/>
    <w:rsid w:val="001E2DCB"/>
    <w:rsid w:val="001E68F3"/>
    <w:rsid w:val="001F0084"/>
    <w:rsid w:val="001F5CCD"/>
    <w:rsid w:val="00203C29"/>
    <w:rsid w:val="00216A55"/>
    <w:rsid w:val="00246F28"/>
    <w:rsid w:val="0024709C"/>
    <w:rsid w:val="00255903"/>
    <w:rsid w:val="0025771A"/>
    <w:rsid w:val="00264FB9"/>
    <w:rsid w:val="002A186E"/>
    <w:rsid w:val="002A1A10"/>
    <w:rsid w:val="002A32F2"/>
    <w:rsid w:val="002B78E3"/>
    <w:rsid w:val="002F1E33"/>
    <w:rsid w:val="00305D70"/>
    <w:rsid w:val="003210C3"/>
    <w:rsid w:val="00336A0C"/>
    <w:rsid w:val="00365FD6"/>
    <w:rsid w:val="003665F3"/>
    <w:rsid w:val="00370593"/>
    <w:rsid w:val="00372068"/>
    <w:rsid w:val="00374F84"/>
    <w:rsid w:val="003757F1"/>
    <w:rsid w:val="00377438"/>
    <w:rsid w:val="003A2AAB"/>
    <w:rsid w:val="003D2B19"/>
    <w:rsid w:val="003F0C61"/>
    <w:rsid w:val="00406DC0"/>
    <w:rsid w:val="0041728B"/>
    <w:rsid w:val="00436DE2"/>
    <w:rsid w:val="00451E85"/>
    <w:rsid w:val="00452093"/>
    <w:rsid w:val="004776E1"/>
    <w:rsid w:val="00496029"/>
    <w:rsid w:val="004A3C0D"/>
    <w:rsid w:val="004A53BE"/>
    <w:rsid w:val="004B0646"/>
    <w:rsid w:val="004C1F39"/>
    <w:rsid w:val="004C5A6D"/>
    <w:rsid w:val="004D1D9D"/>
    <w:rsid w:val="004D3AEB"/>
    <w:rsid w:val="004D528F"/>
    <w:rsid w:val="004E5A15"/>
    <w:rsid w:val="004F75A0"/>
    <w:rsid w:val="005116AC"/>
    <w:rsid w:val="005122C4"/>
    <w:rsid w:val="00553EA9"/>
    <w:rsid w:val="00564898"/>
    <w:rsid w:val="0058131E"/>
    <w:rsid w:val="005965C3"/>
    <w:rsid w:val="005A6E8B"/>
    <w:rsid w:val="005B746B"/>
    <w:rsid w:val="005B79F6"/>
    <w:rsid w:val="005C0001"/>
    <w:rsid w:val="005E6257"/>
    <w:rsid w:val="005F4FE3"/>
    <w:rsid w:val="00605D33"/>
    <w:rsid w:val="006104B5"/>
    <w:rsid w:val="006222DA"/>
    <w:rsid w:val="00626EC4"/>
    <w:rsid w:val="006408C6"/>
    <w:rsid w:val="006414B8"/>
    <w:rsid w:val="00652FEA"/>
    <w:rsid w:val="00654636"/>
    <w:rsid w:val="00655011"/>
    <w:rsid w:val="00661666"/>
    <w:rsid w:val="006806F2"/>
    <w:rsid w:val="00682C3C"/>
    <w:rsid w:val="006A08D4"/>
    <w:rsid w:val="006B72FA"/>
    <w:rsid w:val="006E3D83"/>
    <w:rsid w:val="006F04FE"/>
    <w:rsid w:val="006F6D64"/>
    <w:rsid w:val="0070279B"/>
    <w:rsid w:val="00704B98"/>
    <w:rsid w:val="00721947"/>
    <w:rsid w:val="00731565"/>
    <w:rsid w:val="007704C7"/>
    <w:rsid w:val="007708E2"/>
    <w:rsid w:val="00774293"/>
    <w:rsid w:val="007A4B0F"/>
    <w:rsid w:val="007D039F"/>
    <w:rsid w:val="007D5B62"/>
    <w:rsid w:val="00800971"/>
    <w:rsid w:val="008124BD"/>
    <w:rsid w:val="00814A3C"/>
    <w:rsid w:val="00827349"/>
    <w:rsid w:val="00892CD4"/>
    <w:rsid w:val="008A7D79"/>
    <w:rsid w:val="008B14BA"/>
    <w:rsid w:val="008B3723"/>
    <w:rsid w:val="008D1C25"/>
    <w:rsid w:val="0090688E"/>
    <w:rsid w:val="0091391D"/>
    <w:rsid w:val="009401C8"/>
    <w:rsid w:val="00953678"/>
    <w:rsid w:val="00962798"/>
    <w:rsid w:val="0096520D"/>
    <w:rsid w:val="00966B83"/>
    <w:rsid w:val="00975A45"/>
    <w:rsid w:val="009903A9"/>
    <w:rsid w:val="009D71BF"/>
    <w:rsid w:val="009E5CF3"/>
    <w:rsid w:val="009F75AC"/>
    <w:rsid w:val="00A1156A"/>
    <w:rsid w:val="00A36DE2"/>
    <w:rsid w:val="00A53C9F"/>
    <w:rsid w:val="00A5633F"/>
    <w:rsid w:val="00A637A2"/>
    <w:rsid w:val="00A64512"/>
    <w:rsid w:val="00A7374C"/>
    <w:rsid w:val="00A73DC6"/>
    <w:rsid w:val="00AB1055"/>
    <w:rsid w:val="00AB1C33"/>
    <w:rsid w:val="00AF0609"/>
    <w:rsid w:val="00AF674E"/>
    <w:rsid w:val="00B17C4C"/>
    <w:rsid w:val="00B240F5"/>
    <w:rsid w:val="00B319CE"/>
    <w:rsid w:val="00B478B3"/>
    <w:rsid w:val="00B702D4"/>
    <w:rsid w:val="00B80D65"/>
    <w:rsid w:val="00B850DD"/>
    <w:rsid w:val="00B91081"/>
    <w:rsid w:val="00B94164"/>
    <w:rsid w:val="00BA5ABF"/>
    <w:rsid w:val="00BD7BBE"/>
    <w:rsid w:val="00BF6FEB"/>
    <w:rsid w:val="00C016DF"/>
    <w:rsid w:val="00C024FC"/>
    <w:rsid w:val="00C07005"/>
    <w:rsid w:val="00C13F0B"/>
    <w:rsid w:val="00C15294"/>
    <w:rsid w:val="00C27D6B"/>
    <w:rsid w:val="00C5115B"/>
    <w:rsid w:val="00C5192E"/>
    <w:rsid w:val="00C56888"/>
    <w:rsid w:val="00C63F3A"/>
    <w:rsid w:val="00C650E2"/>
    <w:rsid w:val="00C75905"/>
    <w:rsid w:val="00CA2070"/>
    <w:rsid w:val="00CA7BEE"/>
    <w:rsid w:val="00CB7F2F"/>
    <w:rsid w:val="00CC4CED"/>
    <w:rsid w:val="00CD2CF7"/>
    <w:rsid w:val="00CE0C7B"/>
    <w:rsid w:val="00CE3CCA"/>
    <w:rsid w:val="00CF0BFD"/>
    <w:rsid w:val="00CF2056"/>
    <w:rsid w:val="00D2201F"/>
    <w:rsid w:val="00D224F3"/>
    <w:rsid w:val="00D359CC"/>
    <w:rsid w:val="00D4351E"/>
    <w:rsid w:val="00D7451D"/>
    <w:rsid w:val="00D9517B"/>
    <w:rsid w:val="00DA274A"/>
    <w:rsid w:val="00DC17A1"/>
    <w:rsid w:val="00DF012D"/>
    <w:rsid w:val="00DF012E"/>
    <w:rsid w:val="00E07C96"/>
    <w:rsid w:val="00E176FE"/>
    <w:rsid w:val="00E22BA0"/>
    <w:rsid w:val="00E25096"/>
    <w:rsid w:val="00E33058"/>
    <w:rsid w:val="00E441AC"/>
    <w:rsid w:val="00E617FA"/>
    <w:rsid w:val="00E7256D"/>
    <w:rsid w:val="00E75BCF"/>
    <w:rsid w:val="00E85455"/>
    <w:rsid w:val="00E87976"/>
    <w:rsid w:val="00E94317"/>
    <w:rsid w:val="00ED4472"/>
    <w:rsid w:val="00EE5B75"/>
    <w:rsid w:val="00EF38A0"/>
    <w:rsid w:val="00F0507C"/>
    <w:rsid w:val="00F202F7"/>
    <w:rsid w:val="00F25970"/>
    <w:rsid w:val="00F27168"/>
    <w:rsid w:val="00F45724"/>
    <w:rsid w:val="00F64110"/>
    <w:rsid w:val="00F65743"/>
    <w:rsid w:val="00F84853"/>
    <w:rsid w:val="00FA05D9"/>
    <w:rsid w:val="00FB2374"/>
    <w:rsid w:val="00FD1F2B"/>
    <w:rsid w:val="00FD4C6D"/>
    <w:rsid w:val="00FE3CEA"/>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464CE"/>
  <w15:chartTrackingRefBased/>
  <w15:docId w15:val="{75AE0ECB-4B20-4A0B-B0E0-10BDAEC5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F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7F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57F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57F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7F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57F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57F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57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7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7F1"/>
    <w:rPr>
      <w:rFonts w:ascii="Segoe UI" w:hAnsi="Segoe UI" w:cs="Segoe UI"/>
      <w:sz w:val="18"/>
      <w:szCs w:val="18"/>
    </w:rPr>
  </w:style>
  <w:style w:type="paragraph" w:styleId="Header">
    <w:name w:val="header"/>
    <w:basedOn w:val="Normal"/>
    <w:link w:val="HeaderChar"/>
    <w:uiPriority w:val="99"/>
    <w:unhideWhenUsed/>
    <w:rsid w:val="0037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F1"/>
  </w:style>
  <w:style w:type="paragraph" w:styleId="Footer">
    <w:name w:val="footer"/>
    <w:basedOn w:val="Normal"/>
    <w:link w:val="FooterChar"/>
    <w:uiPriority w:val="99"/>
    <w:unhideWhenUsed/>
    <w:rsid w:val="0037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F1"/>
  </w:style>
  <w:style w:type="paragraph" w:styleId="ListParagraph">
    <w:name w:val="List Paragraph"/>
    <w:basedOn w:val="Normal"/>
    <w:uiPriority w:val="34"/>
    <w:qFormat/>
    <w:rsid w:val="003757F1"/>
    <w:pPr>
      <w:ind w:left="720"/>
      <w:contextualSpacing/>
    </w:pPr>
  </w:style>
  <w:style w:type="character" w:customStyle="1" w:styleId="Heading1Char">
    <w:name w:val="Heading 1 Char"/>
    <w:basedOn w:val="DefaultParagraphFont"/>
    <w:link w:val="Heading1"/>
    <w:uiPriority w:val="9"/>
    <w:rsid w:val="003757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57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757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757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757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757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757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757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57F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07C96"/>
    <w:rPr>
      <w:sz w:val="16"/>
      <w:szCs w:val="16"/>
    </w:rPr>
  </w:style>
  <w:style w:type="paragraph" w:styleId="CommentText">
    <w:name w:val="annotation text"/>
    <w:basedOn w:val="Normal"/>
    <w:link w:val="CommentTextChar"/>
    <w:uiPriority w:val="99"/>
    <w:semiHidden/>
    <w:unhideWhenUsed/>
    <w:rsid w:val="00E07C96"/>
    <w:pPr>
      <w:spacing w:line="240" w:lineRule="auto"/>
    </w:pPr>
    <w:rPr>
      <w:sz w:val="20"/>
      <w:szCs w:val="20"/>
    </w:rPr>
  </w:style>
  <w:style w:type="character" w:customStyle="1" w:styleId="CommentTextChar">
    <w:name w:val="Comment Text Char"/>
    <w:basedOn w:val="DefaultParagraphFont"/>
    <w:link w:val="CommentText"/>
    <w:uiPriority w:val="99"/>
    <w:semiHidden/>
    <w:rsid w:val="00E07C96"/>
    <w:rPr>
      <w:sz w:val="20"/>
      <w:szCs w:val="20"/>
    </w:rPr>
  </w:style>
  <w:style w:type="paragraph" w:styleId="CommentSubject">
    <w:name w:val="annotation subject"/>
    <w:basedOn w:val="CommentText"/>
    <w:next w:val="CommentText"/>
    <w:link w:val="CommentSubjectChar"/>
    <w:uiPriority w:val="99"/>
    <w:semiHidden/>
    <w:unhideWhenUsed/>
    <w:rsid w:val="00E07C96"/>
    <w:rPr>
      <w:b/>
      <w:bCs/>
    </w:rPr>
  </w:style>
  <w:style w:type="character" w:customStyle="1" w:styleId="CommentSubjectChar">
    <w:name w:val="Comment Subject Char"/>
    <w:basedOn w:val="CommentTextChar"/>
    <w:link w:val="CommentSubject"/>
    <w:uiPriority w:val="99"/>
    <w:semiHidden/>
    <w:rsid w:val="00E07C96"/>
    <w:rPr>
      <w:b/>
      <w:bCs/>
      <w:sz w:val="20"/>
      <w:szCs w:val="20"/>
    </w:rPr>
  </w:style>
  <w:style w:type="character" w:styleId="Hyperlink">
    <w:name w:val="Hyperlink"/>
    <w:basedOn w:val="DefaultParagraphFont"/>
    <w:uiPriority w:val="99"/>
    <w:unhideWhenUsed/>
    <w:rsid w:val="003D2B19"/>
    <w:rPr>
      <w:color w:val="0563C1" w:themeColor="hyperlink"/>
      <w:u w:val="single"/>
    </w:rPr>
  </w:style>
  <w:style w:type="character" w:styleId="UnresolvedMention">
    <w:name w:val="Unresolved Mention"/>
    <w:basedOn w:val="DefaultParagraphFont"/>
    <w:uiPriority w:val="99"/>
    <w:semiHidden/>
    <w:unhideWhenUsed/>
    <w:rsid w:val="00655011"/>
    <w:rPr>
      <w:color w:val="605E5C"/>
      <w:shd w:val="clear" w:color="auto" w:fill="E1DFDD"/>
    </w:rPr>
  </w:style>
  <w:style w:type="character" w:styleId="FollowedHyperlink">
    <w:name w:val="FollowedHyperlink"/>
    <w:basedOn w:val="DefaultParagraphFont"/>
    <w:uiPriority w:val="99"/>
    <w:semiHidden/>
    <w:unhideWhenUsed/>
    <w:rsid w:val="00655011"/>
    <w:rPr>
      <w:color w:val="954F72" w:themeColor="followedHyperlink"/>
      <w:u w:val="single"/>
    </w:rPr>
  </w:style>
  <w:style w:type="character" w:customStyle="1" w:styleId="hscoswrapper">
    <w:name w:val="hs_cos_wrapper"/>
    <w:basedOn w:val="DefaultParagraphFont"/>
    <w:rsid w:val="00336A0C"/>
  </w:style>
  <w:style w:type="character" w:styleId="Strong">
    <w:name w:val="Strong"/>
    <w:basedOn w:val="DefaultParagraphFont"/>
    <w:uiPriority w:val="22"/>
    <w:qFormat/>
    <w:rsid w:val="00336A0C"/>
    <w:rPr>
      <w:b/>
      <w:bCs/>
    </w:rPr>
  </w:style>
  <w:style w:type="character" w:styleId="Emphasis">
    <w:name w:val="Emphasis"/>
    <w:basedOn w:val="DefaultParagraphFont"/>
    <w:uiPriority w:val="20"/>
    <w:qFormat/>
    <w:rsid w:val="00336A0C"/>
    <w:rPr>
      <w:i/>
      <w:iCs/>
    </w:rPr>
  </w:style>
  <w:style w:type="paragraph" w:styleId="NormalWeb">
    <w:name w:val="Normal (Web)"/>
    <w:basedOn w:val="Normal"/>
    <w:uiPriority w:val="99"/>
    <w:unhideWhenUsed/>
    <w:rsid w:val="00DA27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6300">
      <w:bodyDiv w:val="1"/>
      <w:marLeft w:val="0"/>
      <w:marRight w:val="0"/>
      <w:marTop w:val="0"/>
      <w:marBottom w:val="0"/>
      <w:divBdr>
        <w:top w:val="none" w:sz="0" w:space="0" w:color="auto"/>
        <w:left w:val="none" w:sz="0" w:space="0" w:color="auto"/>
        <w:bottom w:val="none" w:sz="0" w:space="0" w:color="auto"/>
        <w:right w:val="none" w:sz="0" w:space="0" w:color="auto"/>
      </w:divBdr>
    </w:div>
    <w:div w:id="7928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files/document/covid-rural-health-clinics.pdf" TargetMode="External"/><Relationship Id="rId12" Type="http://schemas.openxmlformats.org/officeDocument/2006/relationships/hyperlink" Target="https://telehealth.hhs.gov/providers/preparing-patients-for-teleheal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health.hhs.gov/providers/getting-starte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hs.gov/hipaa/for-professionals/special-topics/emergency-preparedness/notification-enforcement-discretion-telehealth/index.html" TargetMode="External"/><Relationship Id="rId4" Type="http://schemas.openxmlformats.org/officeDocument/2006/relationships/webSettings" Target="webSettings.xml"/><Relationship Id="rId9" Type="http://schemas.openxmlformats.org/officeDocument/2006/relationships/hyperlink" Target="https://www.hhs.gov/hipaa/for-professionals/special-topics/emergency-preparedness/notification-enforcement-discretion-telehealth/index.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2021-04-29T21:32:00Z</cp:lastPrinted>
  <dcterms:created xsi:type="dcterms:W3CDTF">2021-04-29T21:32:00Z</dcterms:created>
  <dcterms:modified xsi:type="dcterms:W3CDTF">2021-04-29T21:33:00Z</dcterms:modified>
</cp:coreProperties>
</file>