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BA33B4">
      <w:pPr>
        <w:spacing w:after="0"/>
        <w:rPr>
          <w:sz w:val="24"/>
          <w:szCs w:val="24"/>
        </w:rPr>
      </w:pPr>
    </w:p>
    <w:p w14:paraId="1DCAF69F" w14:textId="11EA305A" w:rsidR="00D92F63" w:rsidRPr="003757F1" w:rsidRDefault="00606B42" w:rsidP="008D30BB">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BA33B4">
        <w:rPr>
          <w:color w:val="FF0000"/>
          <w:sz w:val="24"/>
          <w:szCs w:val="24"/>
        </w:rPr>
        <w:t>Organization name here</w:t>
      </w:r>
      <w:r w:rsidR="00D92F63">
        <w:rPr>
          <w:sz w:val="24"/>
          <w:szCs w:val="24"/>
        </w:rPr>
        <w:t>]</w:t>
      </w:r>
      <w:r w:rsidR="00B43364">
        <w:rPr>
          <w:sz w:val="24"/>
          <w:szCs w:val="24"/>
        </w:rPr>
        <w:t xml:space="preserve"> </w:t>
      </w:r>
      <w:r w:rsidR="00B43364" w:rsidRPr="00470680">
        <w:rPr>
          <w:sz w:val="24"/>
          <w:szCs w:val="24"/>
        </w:rPr>
        <w:t>to ensure billing and coding requirements for telehealth services are accurate, timely, and auditable.</w:t>
      </w:r>
    </w:p>
    <w:p w14:paraId="29A57FD9" w14:textId="7918D50B" w:rsidR="001B7186" w:rsidRDefault="002269B2" w:rsidP="0029071D">
      <w:pPr>
        <w:tabs>
          <w:tab w:val="left" w:pos="720"/>
          <w:tab w:val="left" w:pos="1440"/>
          <w:tab w:val="left" w:pos="8520"/>
        </w:tabs>
        <w:spacing w:after="0"/>
        <w:ind w:left="1440" w:hanging="1440"/>
        <w:jc w:val="both"/>
        <w:rPr>
          <w:b/>
          <w:bCs/>
          <w:sz w:val="24"/>
          <w:szCs w:val="24"/>
        </w:rPr>
      </w:pPr>
      <w:r>
        <w:rPr>
          <w:b/>
          <w:bCs/>
          <w:sz w:val="24"/>
          <w:szCs w:val="24"/>
        </w:rPr>
        <w:tab/>
      </w:r>
      <w:r w:rsidR="0029071D">
        <w:rPr>
          <w:b/>
          <w:bCs/>
          <w:sz w:val="24"/>
          <w:szCs w:val="24"/>
        </w:rPr>
        <w:tab/>
      </w:r>
      <w:r w:rsidR="0029071D">
        <w:rPr>
          <w:b/>
          <w:bCs/>
          <w:sz w:val="24"/>
          <w:szCs w:val="24"/>
        </w:rPr>
        <w:tab/>
      </w:r>
    </w:p>
    <w:p w14:paraId="085052C0" w14:textId="69AE01C3" w:rsidR="00D92F63" w:rsidRPr="003757F1" w:rsidRDefault="00606B42" w:rsidP="008D30BB">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B43364">
        <w:rPr>
          <w:sz w:val="24"/>
          <w:szCs w:val="24"/>
        </w:rPr>
        <w:t>reimbursement</w:t>
      </w:r>
      <w:r w:rsidR="00D92F63">
        <w:rPr>
          <w:sz w:val="24"/>
          <w:szCs w:val="24"/>
        </w:rPr>
        <w:t xml:space="preserv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BA33B4">
      <w:pPr>
        <w:spacing w:after="0"/>
        <w:jc w:val="both"/>
        <w:rPr>
          <w:b/>
          <w:bCs/>
          <w:sz w:val="24"/>
          <w:szCs w:val="24"/>
        </w:rPr>
      </w:pPr>
    </w:p>
    <w:p w14:paraId="3B4C65E3" w14:textId="2C3F90FC" w:rsidR="001B7186" w:rsidRPr="003757F1" w:rsidRDefault="00BA33B4" w:rsidP="00BA33B4">
      <w:pPr>
        <w:spacing w:after="24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57C93EA" wp14:editId="1D5ADF45">
                <wp:simplePos x="0" y="0"/>
                <wp:positionH relativeFrom="column">
                  <wp:posOffset>-60960</wp:posOffset>
                </wp:positionH>
                <wp:positionV relativeFrom="paragraph">
                  <wp:posOffset>917575</wp:posOffset>
                </wp:positionV>
                <wp:extent cx="6060440" cy="497205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6060440" cy="49720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D134C" id="Rectangle 1" o:spid="_x0000_s1026" style="position:absolute;margin-left:-4.8pt;margin-top:72.25pt;width:477.2pt;height:3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" filled="f" strokecolor="#7f7f7f"/>
            </w:pict>
          </mc:Fallback>
        </mc:AlternateContent>
      </w:r>
      <w:r w:rsidR="00606B42" w:rsidRPr="00606B42">
        <w:rPr>
          <w:b/>
          <w:bCs/>
          <w:sz w:val="24"/>
          <w:szCs w:val="24"/>
        </w:rPr>
        <w:t>Scope:</w:t>
      </w:r>
      <w:r w:rsidR="001B7186">
        <w:rPr>
          <w:b/>
          <w:bCs/>
          <w:sz w:val="24"/>
          <w:szCs w:val="24"/>
        </w:rPr>
        <w:tab/>
      </w:r>
      <w:r w:rsidR="00D92F63" w:rsidRPr="003757F1">
        <w:rPr>
          <w:sz w:val="24"/>
          <w:szCs w:val="24"/>
        </w:rPr>
        <w:t xml:space="preserve">This document is applicable for </w:t>
      </w:r>
      <w:r w:rsidR="00214982">
        <w:rPr>
          <w:sz w:val="24"/>
          <w:szCs w:val="24"/>
        </w:rPr>
        <w:t>critical access</w:t>
      </w:r>
      <w:r w:rsidR="00D81FED">
        <w:rPr>
          <w:sz w:val="24"/>
          <w:szCs w:val="24"/>
        </w:rPr>
        <w:t xml:space="preserve"> hospitals (</w:t>
      </w:r>
      <w:r w:rsidR="00214982">
        <w:rPr>
          <w:sz w:val="24"/>
          <w:szCs w:val="24"/>
        </w:rPr>
        <w:t>CA</w:t>
      </w:r>
      <w:r w:rsidR="00D81FED">
        <w:rPr>
          <w:sz w:val="24"/>
          <w:szCs w:val="24"/>
        </w:rPr>
        <w:t>H)</w:t>
      </w:r>
      <w:r w:rsidR="00D92F63" w:rsidRPr="003757F1">
        <w:rPr>
          <w:sz w:val="24"/>
          <w:szCs w:val="24"/>
        </w:rPr>
        <w:t>, in accordance with the rules and regulations of the Centers for Medicare &amp; Medicaid Services (CMS</w:t>
      </w:r>
      <w:r w:rsidR="00EC1C89">
        <w:rPr>
          <w:sz w:val="24"/>
          <w:szCs w:val="24"/>
        </w:rPr>
        <w:t xml:space="preserve">). </w:t>
      </w:r>
      <w:r w:rsidR="00D92F63">
        <w:rPr>
          <w:sz w:val="24"/>
          <w:szCs w:val="24"/>
        </w:rPr>
        <w:t xml:space="preserve"> Each organization should check their state regulations for further requirements and opportunities.</w:t>
      </w:r>
    </w:p>
    <w:p w14:paraId="6B621EE0" w14:textId="2A7D0F5F" w:rsidR="00E816BA" w:rsidRPr="005737BC" w:rsidRDefault="00213231" w:rsidP="008D30BB">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6CE684D6" w14:textId="03A17DA5" w:rsidR="008F3B2E" w:rsidRDefault="00C91663" w:rsidP="008D30BB">
      <w:pPr>
        <w:shd w:val="clear" w:color="auto" w:fill="E7E6E6" w:themeFill="background2"/>
        <w:jc w:val="both"/>
        <w:rPr>
          <w:i/>
          <w:iCs/>
          <w:sz w:val="24"/>
          <w:szCs w:val="24"/>
        </w:rPr>
      </w:pPr>
      <w:r w:rsidRPr="00AA7BAE">
        <w:rPr>
          <w:rStyle w:val="Emphasis"/>
          <w:i w:val="0"/>
          <w:iCs w:val="0"/>
          <w:sz w:val="24"/>
          <w:szCs w:val="24"/>
        </w:rPr>
        <w:t xml:space="preserve"> </w:t>
      </w:r>
      <w:r w:rsidR="008F3B2E">
        <w:rPr>
          <w:i/>
          <w:iCs/>
          <w:sz w:val="24"/>
          <w:szCs w:val="24"/>
        </w:rPr>
        <w:t xml:space="preserve">-Determination of the PHE renewal </w:t>
      </w:r>
    </w:p>
    <w:p w14:paraId="628305DE" w14:textId="505D7432" w:rsidR="008F3B2E" w:rsidRDefault="008F3B2E" w:rsidP="00525F45">
      <w:pPr>
        <w:shd w:val="clear" w:color="auto" w:fill="E7E6E6" w:themeFill="background2"/>
        <w:spacing w:after="0" w:line="240" w:lineRule="auto"/>
        <w:rPr>
          <w:i/>
          <w:iCs/>
          <w:sz w:val="24"/>
          <w:szCs w:val="24"/>
        </w:rPr>
      </w:pPr>
      <w:r>
        <w:rPr>
          <w:i/>
          <w:iCs/>
          <w:sz w:val="24"/>
          <w:szCs w:val="24"/>
        </w:rPr>
        <w:t xml:space="preserve">For further reading: </w:t>
      </w:r>
      <w:hyperlink r:id="rId7" w:history="1">
        <w:r w:rsidRPr="00332787">
          <w:rPr>
            <w:rStyle w:val="Hyperlink"/>
            <w:i/>
            <w:iCs/>
            <w:sz w:val="24"/>
            <w:szCs w:val="24"/>
          </w:rPr>
          <w:t>https://www.phe.gov/emergency/news/healthactions/phe/Pages/covid19-07Jan2021.aspx</w:t>
        </w:r>
      </w:hyperlink>
      <w:r>
        <w:rPr>
          <w:i/>
          <w:iCs/>
          <w:sz w:val="24"/>
          <w:szCs w:val="24"/>
        </w:rPr>
        <w:t xml:space="preserve"> </w:t>
      </w:r>
    </w:p>
    <w:p w14:paraId="578506DD" w14:textId="2EE3A770" w:rsidR="008F3B2E" w:rsidRDefault="008F3B2E" w:rsidP="008D30BB">
      <w:pPr>
        <w:shd w:val="clear" w:color="auto" w:fill="E7E6E6" w:themeFill="background2"/>
        <w:spacing w:after="0" w:line="240" w:lineRule="auto"/>
        <w:jc w:val="both"/>
        <w:rPr>
          <w:i/>
          <w:iCs/>
          <w:sz w:val="24"/>
          <w:szCs w:val="24"/>
        </w:rPr>
      </w:pPr>
    </w:p>
    <w:p w14:paraId="32795F40" w14:textId="77777777" w:rsidR="00F53F06" w:rsidRPr="0076147D" w:rsidRDefault="00F53F06" w:rsidP="00F53F06">
      <w:pPr>
        <w:shd w:val="clear" w:color="auto" w:fill="E7E6E6" w:themeFill="background2"/>
        <w:spacing w:after="0" w:line="240" w:lineRule="auto"/>
        <w:jc w:val="both"/>
        <w:rPr>
          <w:rFonts w:eastAsia="Times New Roman" w:cstheme="minorHAnsi"/>
          <w:i/>
          <w:iCs/>
          <w:sz w:val="24"/>
          <w:szCs w:val="24"/>
        </w:rPr>
      </w:pPr>
      <w:r w:rsidRPr="00F6395C">
        <w:rPr>
          <w:rFonts w:cstheme="minorHAnsi"/>
          <w:i/>
          <w:iCs/>
          <w:sz w:val="24"/>
          <w:szCs w:val="24"/>
        </w:rPr>
        <w:t>“</w:t>
      </w:r>
      <w:r w:rsidRPr="0076147D">
        <w:rPr>
          <w:rFonts w:cstheme="minorHAnsi"/>
          <w:i/>
          <w:iCs/>
          <w:sz w:val="24"/>
          <w:szCs w:val="24"/>
        </w:rPr>
        <w:t>Medicare can pay fo</w:t>
      </w:r>
      <w:r>
        <w:rPr>
          <w:rFonts w:cstheme="minorHAnsi"/>
          <w:i/>
          <w:iCs/>
          <w:sz w:val="24"/>
          <w:szCs w:val="24"/>
        </w:rPr>
        <w:t xml:space="preserve">r </w:t>
      </w:r>
      <w:r w:rsidRPr="0076147D">
        <w:rPr>
          <w:rFonts w:cstheme="minorHAnsi"/>
          <w:i/>
          <w:iCs/>
          <w:sz w:val="24"/>
          <w:szCs w:val="24"/>
        </w:rPr>
        <w:t>many types of 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p>
    <w:p w14:paraId="7547D909" w14:textId="77777777" w:rsidR="00F53F06" w:rsidRDefault="00F53F06" w:rsidP="00F53F06">
      <w:pPr>
        <w:shd w:val="clear" w:color="auto" w:fill="E7E6E6" w:themeFill="background2"/>
        <w:spacing w:after="0" w:line="240" w:lineRule="auto"/>
        <w:rPr>
          <w:rFonts w:eastAsia="Times New Roman" w:cstheme="minorHAnsi"/>
          <w:i/>
          <w:iCs/>
          <w:sz w:val="24"/>
          <w:szCs w:val="24"/>
        </w:rPr>
      </w:pPr>
    </w:p>
    <w:p w14:paraId="605E36B6" w14:textId="3ABE1E7F" w:rsidR="00F53F06" w:rsidRDefault="00EF0A23" w:rsidP="00F53F06">
      <w:pPr>
        <w:shd w:val="clear" w:color="auto" w:fill="E7E6E6" w:themeFill="background2"/>
        <w:spacing w:after="0" w:line="240" w:lineRule="auto"/>
        <w:rPr>
          <w:i/>
          <w:iCs/>
          <w:sz w:val="24"/>
          <w:szCs w:val="24"/>
        </w:rPr>
      </w:pPr>
      <w:r>
        <w:rPr>
          <w:i/>
          <w:iCs/>
          <w:sz w:val="24"/>
          <w:szCs w:val="24"/>
        </w:rPr>
        <w:t>-</w:t>
      </w:r>
      <w:r w:rsidR="00F53F06" w:rsidRPr="009C0E71">
        <w:rPr>
          <w:i/>
          <w:iCs/>
          <w:sz w:val="24"/>
          <w:szCs w:val="24"/>
        </w:rPr>
        <w:t>Clinicians are allowed to provide</w:t>
      </w:r>
      <w:r w:rsidR="005C0B34">
        <w:rPr>
          <w:i/>
          <w:iCs/>
          <w:sz w:val="24"/>
          <w:szCs w:val="24"/>
        </w:rPr>
        <w:t xml:space="preserve"> </w:t>
      </w:r>
      <w:r w:rsidR="00F53F06" w:rsidRPr="009C0E71">
        <w:rPr>
          <w:i/>
          <w:iCs/>
          <w:sz w:val="24"/>
          <w:szCs w:val="24"/>
        </w:rPr>
        <w:t xml:space="preserve">telehealth services, </w:t>
      </w:r>
      <w:r w:rsidR="005E32E7">
        <w:rPr>
          <w:i/>
          <w:iCs/>
          <w:sz w:val="24"/>
          <w:szCs w:val="24"/>
        </w:rPr>
        <w:t>to include</w:t>
      </w:r>
      <w:r w:rsidR="00F53F06" w:rsidRPr="009C0E71">
        <w:rPr>
          <w:i/>
          <w:iCs/>
          <w:sz w:val="24"/>
          <w:szCs w:val="24"/>
        </w:rPr>
        <w:t>: emergency department visits, initial and subsequent observation, initial hospital care and hospital discharge day management, initial nursing facility visits, critical care services, intensive care services, therapy services.</w:t>
      </w:r>
    </w:p>
    <w:p w14:paraId="1965DB7B" w14:textId="77777777" w:rsidR="00F53F06" w:rsidRDefault="00F53F06" w:rsidP="00F53F06">
      <w:pPr>
        <w:shd w:val="clear" w:color="auto" w:fill="E7E6E6" w:themeFill="background2"/>
        <w:spacing w:after="0" w:line="240" w:lineRule="auto"/>
        <w:jc w:val="both"/>
        <w:rPr>
          <w:i/>
          <w:iCs/>
          <w:sz w:val="24"/>
          <w:szCs w:val="24"/>
        </w:rPr>
      </w:pPr>
    </w:p>
    <w:p w14:paraId="73A1BEB8" w14:textId="4E277C18" w:rsidR="00F53F06" w:rsidRDefault="00F53F06" w:rsidP="00F53F06">
      <w:pPr>
        <w:shd w:val="clear" w:color="auto" w:fill="E7E6E6" w:themeFill="background2"/>
        <w:spacing w:after="0" w:line="240" w:lineRule="auto"/>
        <w:jc w:val="both"/>
        <w:rPr>
          <w:i/>
          <w:iCs/>
          <w:sz w:val="24"/>
          <w:szCs w:val="24"/>
        </w:rPr>
      </w:pPr>
      <w:r>
        <w:rPr>
          <w:i/>
          <w:iCs/>
          <w:sz w:val="24"/>
          <w:szCs w:val="24"/>
        </w:rPr>
        <w:t>“</w:t>
      </w:r>
      <w:r w:rsidRPr="008116DB">
        <w:rPr>
          <w:i/>
          <w:iCs/>
          <w:sz w:val="24"/>
          <w:szCs w:val="24"/>
        </w:rPr>
        <w:t>CMS is waiving the enforcement of section 1867(a) of the Social Security Act (the Emergency Medical Treatment and Active Labor Act, or EMTALA). This will allow hospitals, psychiatric hospitals, and CAHs to screen patients at a location offsite from the hospital’s campus to prevent the spread of COVID-19, so long as it is not inconsistent with the state emergency preparedness or pandemic plan.</w:t>
      </w:r>
      <w:r>
        <w:rPr>
          <w:i/>
          <w:iCs/>
          <w:sz w:val="24"/>
          <w:szCs w:val="24"/>
        </w:rPr>
        <w:t>”</w:t>
      </w:r>
    </w:p>
    <w:p w14:paraId="5BD075DD" w14:textId="77777777" w:rsidR="00F53F06" w:rsidRDefault="00F53F06" w:rsidP="00F53F06">
      <w:pPr>
        <w:shd w:val="clear" w:color="auto" w:fill="E7E6E6" w:themeFill="background2"/>
        <w:spacing w:after="0" w:line="240" w:lineRule="auto"/>
        <w:jc w:val="both"/>
        <w:rPr>
          <w:i/>
          <w:iCs/>
          <w:sz w:val="24"/>
          <w:szCs w:val="24"/>
        </w:rPr>
      </w:pPr>
    </w:p>
    <w:p w14:paraId="71F3C959" w14:textId="77777777" w:rsidR="00F53F06" w:rsidRDefault="00F53F06" w:rsidP="005765E4">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 xml:space="preserve">For further reading: </w:t>
      </w:r>
      <w:hyperlink r:id="rId8"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1AE5C26F" w14:textId="77777777" w:rsidR="00F53F06" w:rsidRDefault="00F53F06" w:rsidP="00F53F06">
      <w:pPr>
        <w:pStyle w:val="Default"/>
        <w:shd w:val="clear" w:color="auto" w:fill="E7E6E6" w:themeFill="background2"/>
        <w:jc w:val="both"/>
        <w:rPr>
          <w:rFonts w:asciiTheme="minorHAnsi" w:hAnsiTheme="minorHAnsi" w:cstheme="minorHAnsi"/>
          <w:i/>
          <w:iCs/>
        </w:rPr>
      </w:pPr>
    </w:p>
    <w:p w14:paraId="6E9B4415" w14:textId="6746949F" w:rsidR="00F53F06" w:rsidRPr="00F53F06" w:rsidRDefault="00F53F06" w:rsidP="005765E4">
      <w:pPr>
        <w:pStyle w:val="Default"/>
        <w:shd w:val="clear" w:color="auto" w:fill="E7E6E6" w:themeFill="background2"/>
        <w:rPr>
          <w:rFonts w:eastAsia="Times New Roman" w:cstheme="minorHAnsi"/>
          <w:i/>
          <w:iCs/>
        </w:rPr>
      </w:pPr>
      <w:r>
        <w:rPr>
          <w:rFonts w:asciiTheme="minorHAnsi" w:hAnsiTheme="minorHAnsi" w:cstheme="minorHAnsi"/>
          <w:i/>
          <w:iCs/>
        </w:rPr>
        <w:t xml:space="preserve">For further reading: </w:t>
      </w:r>
      <w:hyperlink r:id="rId9" w:history="1">
        <w:r w:rsidRPr="008F7A9D">
          <w:rPr>
            <w:rStyle w:val="Hyperlink"/>
            <w:rFonts w:asciiTheme="minorHAnsi" w:hAnsiTheme="minorHAnsi" w:cstheme="minorHAnsi"/>
            <w:i/>
            <w:iCs/>
          </w:rPr>
          <w:t>https://www.cms.gov/files/document/mln-connects-special-edition-3-31-2020.pdf</w:t>
        </w:r>
      </w:hyperlink>
      <w:r>
        <w:rPr>
          <w:rFonts w:asciiTheme="minorHAnsi" w:hAnsiTheme="minorHAnsi" w:cstheme="minorHAnsi"/>
          <w:i/>
          <w:iCs/>
        </w:rPr>
        <w:t xml:space="preserve"> </w:t>
      </w:r>
    </w:p>
    <w:p w14:paraId="0FF7ACFE" w14:textId="77777777" w:rsidR="00BA33B4" w:rsidRDefault="00BA33B4" w:rsidP="00BA33B4">
      <w:pPr>
        <w:pStyle w:val="Footer"/>
        <w:spacing w:before="120"/>
      </w:pPr>
      <w:bookmarkStart w:id="0" w:name="_Hlk70422978"/>
      <w:r>
        <w:t>*Temporary guidance related to Public Health Emergency (PHE)</w:t>
      </w:r>
    </w:p>
    <w:bookmarkEnd w:id="0"/>
    <w:p w14:paraId="2903E5F0" w14:textId="02460466" w:rsidR="008F3B2E" w:rsidRDefault="00BA33B4" w:rsidP="008D30BB">
      <w:pPr>
        <w:jc w:val="both"/>
        <w:rPr>
          <w:b/>
          <w:bCs/>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44933BC8" wp14:editId="14EF5C2B">
                <wp:simplePos x="0" y="0"/>
                <wp:positionH relativeFrom="column">
                  <wp:posOffset>-60960</wp:posOffset>
                </wp:positionH>
                <wp:positionV relativeFrom="paragraph">
                  <wp:posOffset>257810</wp:posOffset>
                </wp:positionV>
                <wp:extent cx="6060934" cy="7459980"/>
                <wp:effectExtent l="0" t="0" r="16510" b="26670"/>
                <wp:wrapNone/>
                <wp:docPr id="4" name="Rectangle 4"/>
                <wp:cNvGraphicFramePr/>
                <a:graphic xmlns:a="http://schemas.openxmlformats.org/drawingml/2006/main">
                  <a:graphicData uri="http://schemas.microsoft.com/office/word/2010/wordprocessingShape">
                    <wps:wsp>
                      <wps:cNvSpPr/>
                      <wps:spPr>
                        <a:xfrm>
                          <a:off x="0" y="0"/>
                          <a:ext cx="6060934" cy="745998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E7BC9" id="Rectangle 4" o:spid="_x0000_s1026" style="position:absolute;margin-left:-4.8pt;margin-top:20.3pt;width:477.25pt;height:587.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" filled="f" strokecolor="#7f7f7f"/>
            </w:pict>
          </mc:Fallback>
        </mc:AlternateContent>
      </w:r>
    </w:p>
    <w:p w14:paraId="3677E97F" w14:textId="01E67C95" w:rsidR="00A3113F" w:rsidRDefault="00A3113F" w:rsidP="008D30BB">
      <w:pPr>
        <w:shd w:val="clear" w:color="auto" w:fill="E7E6E6" w:themeFill="background2"/>
        <w:jc w:val="center"/>
        <w:rPr>
          <w:i/>
          <w:iCs/>
          <w:sz w:val="24"/>
          <w:szCs w:val="24"/>
        </w:rPr>
      </w:pPr>
      <w:r w:rsidRPr="00A3113F">
        <w:rPr>
          <w:i/>
          <w:iCs/>
          <w:sz w:val="24"/>
          <w:szCs w:val="24"/>
        </w:rPr>
        <w:t>Temporary PHE Guidance*</w:t>
      </w:r>
    </w:p>
    <w:p w14:paraId="377F5B45" w14:textId="77777777" w:rsidR="00F53F06" w:rsidRPr="00396ADE" w:rsidRDefault="00F53F06" w:rsidP="00F53F06">
      <w:pPr>
        <w:shd w:val="clear" w:color="auto" w:fill="E7E6E6" w:themeFill="background2"/>
        <w:spacing w:after="0" w:line="240" w:lineRule="auto"/>
        <w:jc w:val="both"/>
        <w:rPr>
          <w:i/>
          <w:iCs/>
          <w:sz w:val="24"/>
          <w:szCs w:val="24"/>
        </w:rPr>
      </w:pPr>
      <w:r>
        <w:rPr>
          <w:i/>
          <w:iCs/>
          <w:sz w:val="24"/>
          <w:szCs w:val="24"/>
        </w:rPr>
        <w:t>“</w:t>
      </w:r>
      <w:r w:rsidRPr="00776C9B">
        <w:rPr>
          <w:i/>
          <w:iCs/>
          <w:sz w:val="24"/>
          <w:szCs w:val="24"/>
        </w:rPr>
        <w:t>As part of the CMS Hospital Without Walls initiative, hospitals can provide hospital services in other healthcare facilities and sites that would not otherwise be considered to be part of a healthcare facility (such facilities would be re-enrolled as hospitals); or can set up temporary expansion sites to help address the urgent need to increase capacity to care for patients.</w:t>
      </w:r>
      <w:r>
        <w:rPr>
          <w:i/>
          <w:iCs/>
          <w:sz w:val="24"/>
          <w:szCs w:val="24"/>
        </w:rPr>
        <w:t>”</w:t>
      </w:r>
    </w:p>
    <w:p w14:paraId="2BDD30C5" w14:textId="77777777" w:rsidR="00F53F06" w:rsidRDefault="00F53F06" w:rsidP="00F53F06">
      <w:pPr>
        <w:pStyle w:val="Default"/>
        <w:shd w:val="clear" w:color="auto" w:fill="E7E6E6" w:themeFill="background2"/>
        <w:jc w:val="both"/>
        <w:rPr>
          <w:rFonts w:asciiTheme="minorHAnsi" w:hAnsiTheme="minorHAnsi" w:cstheme="minorHAnsi"/>
          <w:i/>
          <w:iCs/>
        </w:rPr>
      </w:pPr>
    </w:p>
    <w:p w14:paraId="5FA4D313" w14:textId="77777777" w:rsidR="00F53F06" w:rsidRPr="009F6269" w:rsidRDefault="00F53F06" w:rsidP="00F53F06">
      <w:pPr>
        <w:pStyle w:val="Default"/>
        <w:shd w:val="clear" w:color="auto" w:fill="E7E6E6" w:themeFill="background2"/>
        <w:jc w:val="both"/>
        <w:rPr>
          <w:rFonts w:asciiTheme="minorHAnsi" w:hAnsiTheme="minorHAnsi" w:cstheme="minorHAnsi"/>
          <w:i/>
          <w:iCs/>
        </w:rPr>
      </w:pPr>
      <w:r w:rsidRPr="009F6269">
        <w:rPr>
          <w:rFonts w:asciiTheme="minorHAnsi" w:hAnsiTheme="minorHAnsi" w:cstheme="minorHAnsi"/>
          <w:i/>
          <w:iCs/>
        </w:rPr>
        <w:t>“Clinicians can provide virtual check-in, remote evaluation of patient-submitted video/images, and e-visit services to both new and established patients. These 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w:t>
      </w:r>
    </w:p>
    <w:p w14:paraId="5142741E" w14:textId="77777777" w:rsidR="00F53F06" w:rsidRDefault="00F53F06" w:rsidP="00F53F06">
      <w:pPr>
        <w:pStyle w:val="Default"/>
        <w:shd w:val="clear" w:color="auto" w:fill="E7E6E6" w:themeFill="background2"/>
        <w:jc w:val="both"/>
        <w:rPr>
          <w:rFonts w:asciiTheme="minorHAnsi" w:hAnsiTheme="minorHAnsi" w:cstheme="minorHAnsi"/>
          <w:i/>
          <w:iCs/>
        </w:rPr>
      </w:pPr>
    </w:p>
    <w:p w14:paraId="7D6D722B" w14:textId="77777777" w:rsidR="00F53F06" w:rsidRDefault="00F53F06" w:rsidP="00F53F06">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6AC1E291" w14:textId="77777777" w:rsidR="00F53F06" w:rsidRDefault="00F53F06" w:rsidP="00F53F06">
      <w:pPr>
        <w:pStyle w:val="Default"/>
        <w:shd w:val="clear" w:color="auto" w:fill="E7E6E6" w:themeFill="background2"/>
        <w:jc w:val="both"/>
        <w:rPr>
          <w:rFonts w:asciiTheme="minorHAnsi" w:hAnsiTheme="minorHAnsi" w:cstheme="minorHAnsi"/>
          <w:i/>
          <w:iCs/>
        </w:rPr>
      </w:pPr>
    </w:p>
    <w:p w14:paraId="2B1DB3C3" w14:textId="77777777" w:rsidR="00F53F06" w:rsidRPr="00D63BC6" w:rsidRDefault="00F53F06" w:rsidP="00F53F06">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“The following services no longer have limitations on the number of times they can be provided by Medicare telehealth:</w:t>
      </w:r>
    </w:p>
    <w:p w14:paraId="2D860693" w14:textId="77777777" w:rsidR="00F53F06" w:rsidRPr="00D63BC6" w:rsidRDefault="00F53F06" w:rsidP="00F53F06">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 xml:space="preserve"> </w:t>
      </w:r>
      <w:r>
        <w:rPr>
          <w:rFonts w:asciiTheme="minorHAnsi" w:hAnsiTheme="minorHAnsi" w:cstheme="minorHAnsi"/>
          <w:i/>
          <w:iCs/>
        </w:rPr>
        <w:t>-</w:t>
      </w:r>
      <w:r w:rsidRPr="00D63BC6">
        <w:rPr>
          <w:rFonts w:asciiTheme="minorHAnsi" w:hAnsiTheme="minorHAnsi" w:cstheme="minorHAnsi"/>
          <w:i/>
          <w:iCs/>
        </w:rPr>
        <w:t>A subsequent inpatient visit can be furnished via Medicare telehealth, without the limitation that the telehealth visit is once every three days</w:t>
      </w:r>
      <w:r>
        <w:rPr>
          <w:rFonts w:asciiTheme="minorHAnsi" w:hAnsiTheme="minorHAnsi" w:cstheme="minorHAnsi"/>
          <w:i/>
          <w:iCs/>
        </w:rPr>
        <w:t>…</w:t>
      </w:r>
    </w:p>
    <w:p w14:paraId="09B6FADD" w14:textId="77777777" w:rsidR="00F53F06" w:rsidRPr="00D63BC6" w:rsidRDefault="00F53F06" w:rsidP="00F53F06">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D63BC6">
        <w:rPr>
          <w:rFonts w:asciiTheme="minorHAnsi" w:hAnsiTheme="minorHAnsi" w:cstheme="minorHAnsi"/>
          <w:i/>
          <w:iCs/>
        </w:rPr>
        <w:t>Critical care consult codes may be furnished to a Medicare beneficiary by telehealth beyond the once per day limitation.”</w:t>
      </w:r>
    </w:p>
    <w:p w14:paraId="4BC2B25F" w14:textId="77777777" w:rsidR="00F53F06" w:rsidRDefault="00F53F06" w:rsidP="00F53F06">
      <w:pPr>
        <w:shd w:val="clear" w:color="auto" w:fill="E7E6E6" w:themeFill="background2"/>
        <w:spacing w:after="0" w:line="240" w:lineRule="auto"/>
        <w:jc w:val="both"/>
        <w:rPr>
          <w:i/>
          <w:iCs/>
          <w:sz w:val="24"/>
          <w:szCs w:val="24"/>
        </w:rPr>
      </w:pPr>
    </w:p>
    <w:p w14:paraId="0741C84C" w14:textId="77777777" w:rsidR="00F53F06" w:rsidRDefault="00F53F06" w:rsidP="00F53F06">
      <w:pPr>
        <w:shd w:val="clear" w:color="auto" w:fill="E7E6E6" w:themeFill="background2"/>
        <w:spacing w:after="0" w:line="240" w:lineRule="auto"/>
        <w:jc w:val="both"/>
        <w:rPr>
          <w:i/>
          <w:iCs/>
          <w:sz w:val="24"/>
          <w:szCs w:val="24"/>
        </w:rPr>
      </w:pPr>
      <w:r>
        <w:rPr>
          <w:i/>
          <w:iCs/>
          <w:sz w:val="24"/>
          <w:szCs w:val="24"/>
        </w:rPr>
        <w:t>“</w:t>
      </w:r>
      <w:r w:rsidRPr="00DD1930">
        <w:rPr>
          <w:i/>
          <w:iCs/>
          <w:sz w:val="24"/>
          <w:szCs w:val="24"/>
        </w:rPr>
        <w:t>CMS will permit facility and non-facility space that is not normally used for patient care to be utilized for patient care or quarantine, provided the location is approved by the state (ensuring that safety and comfort for patients and staff are sufficiently addressed) and is consistent with the state’s emergency preparedness or pandemic plan</w:t>
      </w:r>
      <w:r>
        <w:t xml:space="preserve">.” </w:t>
      </w:r>
      <w:r>
        <w:rPr>
          <w:i/>
          <w:iCs/>
          <w:sz w:val="24"/>
          <w:szCs w:val="24"/>
        </w:rPr>
        <w:t xml:space="preserve"> </w:t>
      </w:r>
    </w:p>
    <w:p w14:paraId="01ADC0AA" w14:textId="77777777" w:rsidR="00F53F06" w:rsidRDefault="00F53F06" w:rsidP="00F53F06">
      <w:pPr>
        <w:shd w:val="clear" w:color="auto" w:fill="E7E6E6" w:themeFill="background2"/>
        <w:spacing w:after="0" w:line="240" w:lineRule="auto"/>
        <w:jc w:val="both"/>
        <w:rPr>
          <w:i/>
          <w:iCs/>
          <w:sz w:val="24"/>
          <w:szCs w:val="24"/>
        </w:rPr>
      </w:pPr>
    </w:p>
    <w:p w14:paraId="01C4DDF4" w14:textId="77777777" w:rsidR="00F53F06" w:rsidRDefault="00F53F06" w:rsidP="00F53F06">
      <w:pPr>
        <w:shd w:val="clear" w:color="auto" w:fill="E7E6E6" w:themeFill="background2"/>
        <w:spacing w:after="0" w:line="240" w:lineRule="auto"/>
        <w:jc w:val="both"/>
        <w:rPr>
          <w:i/>
          <w:iCs/>
          <w:sz w:val="24"/>
          <w:szCs w:val="24"/>
        </w:rPr>
      </w:pPr>
      <w:r w:rsidRPr="00DD1930">
        <w:rPr>
          <w:i/>
          <w:iCs/>
          <w:sz w:val="24"/>
          <w:szCs w:val="24"/>
        </w:rPr>
        <w:t>“CMS is waiving the provisions related to telemedicine for hospitals and CAHs at 42 CFR 482.12(a)(8)-(9) and 42 CFR 485.616(c), making it easier for telemedicine services to be furnished to the hospital’s patients through an agreement with an offsite hospital. This allows for increased access to necessary care for hospital and CAH patients, including access to specialty care.”</w:t>
      </w:r>
    </w:p>
    <w:p w14:paraId="788382DA" w14:textId="77777777" w:rsidR="00F53F06" w:rsidRPr="00BE2D2A" w:rsidRDefault="00F53F06" w:rsidP="00F53F06">
      <w:pPr>
        <w:shd w:val="clear" w:color="auto" w:fill="E7E6E6" w:themeFill="background2"/>
        <w:spacing w:after="0" w:line="240" w:lineRule="auto"/>
        <w:jc w:val="both"/>
        <w:rPr>
          <w:i/>
          <w:iCs/>
          <w:sz w:val="24"/>
          <w:szCs w:val="24"/>
        </w:rPr>
      </w:pPr>
    </w:p>
    <w:p w14:paraId="002DD240" w14:textId="264E7752" w:rsidR="00F53F06" w:rsidRDefault="00F53F06" w:rsidP="00F53F06">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w:t>
      </w:r>
      <w:hyperlink r:id="rId10"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2B443D36" w14:textId="73ED11D6" w:rsidR="00DC0B49" w:rsidRDefault="00DC0B49" w:rsidP="00F53F06">
      <w:pPr>
        <w:shd w:val="clear" w:color="auto" w:fill="E7E6E6" w:themeFill="background2"/>
        <w:spacing w:after="0" w:line="240" w:lineRule="auto"/>
        <w:rPr>
          <w:rFonts w:eastAsia="Times New Roman" w:cstheme="minorHAnsi"/>
          <w:i/>
          <w:iCs/>
          <w:sz w:val="24"/>
          <w:szCs w:val="24"/>
        </w:rPr>
      </w:pPr>
    </w:p>
    <w:p w14:paraId="4F70EC9E" w14:textId="5E2E825E" w:rsidR="00214982" w:rsidRPr="00DC0B49" w:rsidRDefault="00DC0B49" w:rsidP="00DC0B49">
      <w:pPr>
        <w:shd w:val="clear" w:color="auto" w:fill="E7E6E6" w:themeFill="background2"/>
        <w:spacing w:after="0" w:line="240" w:lineRule="auto"/>
        <w:rPr>
          <w:rFonts w:eastAsia="Times New Roman" w:cstheme="minorHAnsi"/>
          <w:i/>
          <w:iCs/>
          <w:sz w:val="24"/>
          <w:szCs w:val="24"/>
        </w:rPr>
      </w:pPr>
      <w:bookmarkStart w:id="1" w:name="_Hlk64277362"/>
      <w:r>
        <w:rPr>
          <w:rFonts w:eastAsia="Times New Roman" w:cstheme="minorHAnsi"/>
          <w:i/>
          <w:iCs/>
          <w:sz w:val="24"/>
          <w:szCs w:val="24"/>
        </w:rPr>
        <w:t xml:space="preserve">For further reading: </w:t>
      </w:r>
      <w:hyperlink r:id="rId11" w:history="1">
        <w:r w:rsidRPr="009E50D0">
          <w:rPr>
            <w:rStyle w:val="Hyperlink"/>
            <w:rFonts w:eastAsia="Times New Roman" w:cstheme="minorHAnsi"/>
            <w:i/>
            <w:iCs/>
            <w:sz w:val="24"/>
            <w:szCs w:val="24"/>
          </w:rPr>
          <w:t>https://www.cms.gov/files/document/summary-covid-19-emergency-declaration-waivers.pdf</w:t>
        </w:r>
      </w:hyperlink>
      <w:r>
        <w:rPr>
          <w:rFonts w:eastAsia="Times New Roman" w:cstheme="minorHAnsi"/>
          <w:i/>
          <w:iCs/>
          <w:sz w:val="24"/>
          <w:szCs w:val="24"/>
        </w:rPr>
        <w:t xml:space="preserve"> </w:t>
      </w:r>
      <w:bookmarkEnd w:id="1"/>
    </w:p>
    <w:p w14:paraId="18276F83" w14:textId="77777777" w:rsidR="00BA33B4" w:rsidRDefault="00BA33B4" w:rsidP="00BA33B4">
      <w:pPr>
        <w:pStyle w:val="Footer"/>
        <w:spacing w:before="120"/>
      </w:pPr>
      <w:bookmarkStart w:id="2" w:name="_Hlk70423362"/>
      <w:r>
        <w:t>*Temporary guidance related to Public Health Emergency (PHE)</w:t>
      </w:r>
    </w:p>
    <w:bookmarkEnd w:id="2"/>
    <w:p w14:paraId="79FBC9CA" w14:textId="77777777" w:rsidR="00DC0B49" w:rsidRDefault="00DC0B49" w:rsidP="008D30BB">
      <w:pPr>
        <w:jc w:val="both"/>
        <w:rPr>
          <w:b/>
          <w:bCs/>
          <w:sz w:val="24"/>
          <w:szCs w:val="24"/>
        </w:rPr>
      </w:pPr>
    </w:p>
    <w:p w14:paraId="00F91993" w14:textId="476B49D2" w:rsidR="00606B42" w:rsidRDefault="00606B42" w:rsidP="008D30BB">
      <w:pPr>
        <w:jc w:val="both"/>
        <w:rPr>
          <w:b/>
          <w:bCs/>
          <w:sz w:val="24"/>
          <w:szCs w:val="24"/>
        </w:rPr>
      </w:pPr>
      <w:r w:rsidRPr="00606B42">
        <w:rPr>
          <w:b/>
          <w:bCs/>
          <w:sz w:val="24"/>
          <w:szCs w:val="24"/>
        </w:rPr>
        <w:lastRenderedPageBreak/>
        <w:t>Procedures:</w:t>
      </w:r>
    </w:p>
    <w:p w14:paraId="1262CD41" w14:textId="1F791A9E" w:rsidR="003D67EF" w:rsidRDefault="00CD3A65" w:rsidP="00BA33B4">
      <w:pPr>
        <w:pStyle w:val="ListParagraph"/>
        <w:numPr>
          <w:ilvl w:val="0"/>
          <w:numId w:val="2"/>
        </w:numPr>
        <w:ind w:left="720" w:hanging="360"/>
        <w:jc w:val="both"/>
        <w:rPr>
          <w:b/>
          <w:bCs/>
          <w:sz w:val="24"/>
          <w:szCs w:val="24"/>
        </w:rPr>
      </w:pPr>
      <w:r>
        <w:rPr>
          <w:b/>
          <w:bCs/>
          <w:sz w:val="24"/>
          <w:szCs w:val="24"/>
        </w:rPr>
        <w:t>Covered Telehealth Services.</w:t>
      </w:r>
    </w:p>
    <w:p w14:paraId="03FED101" w14:textId="646ECDE7" w:rsidR="00CD3A65" w:rsidRPr="00CD3A65" w:rsidRDefault="00CD3A65" w:rsidP="00BA33B4">
      <w:pPr>
        <w:pStyle w:val="ListParagraph"/>
        <w:numPr>
          <w:ilvl w:val="0"/>
          <w:numId w:val="18"/>
        </w:numPr>
        <w:ind w:left="1440"/>
        <w:jc w:val="both"/>
        <w:rPr>
          <w:b/>
          <w:bCs/>
          <w:sz w:val="24"/>
          <w:szCs w:val="24"/>
        </w:rPr>
      </w:pPr>
      <w:r>
        <w:rPr>
          <w:sz w:val="24"/>
          <w:szCs w:val="24"/>
        </w:rPr>
        <w:t xml:space="preserve">The telehealth service must use an interactive audio and video telecommunications system that permits real-time communication between the distant site provider and the patient at the originating site. </w:t>
      </w:r>
    </w:p>
    <w:p w14:paraId="03DE95D0" w14:textId="3F89E05F" w:rsidR="00B60685" w:rsidRPr="00B60685" w:rsidRDefault="00B60685" w:rsidP="00BA33B4">
      <w:pPr>
        <w:pStyle w:val="ListParagraph"/>
        <w:numPr>
          <w:ilvl w:val="0"/>
          <w:numId w:val="18"/>
        </w:numPr>
        <w:ind w:left="1440"/>
        <w:jc w:val="both"/>
        <w:rPr>
          <w:b/>
          <w:bCs/>
          <w:sz w:val="24"/>
          <w:szCs w:val="24"/>
        </w:rPr>
      </w:pPr>
      <w:r>
        <w:rPr>
          <w:sz w:val="24"/>
          <w:szCs w:val="24"/>
        </w:rPr>
        <w:t>Each year the list of covered telehealth services is reviewed and revised by the Centers for Medicare &amp; Medicaid Services (CMS).</w:t>
      </w:r>
    </w:p>
    <w:p w14:paraId="27716545" w14:textId="3DC94F9F" w:rsidR="00B60685" w:rsidRPr="00B60685" w:rsidRDefault="00B60685" w:rsidP="00BA33B4">
      <w:pPr>
        <w:pStyle w:val="ListParagraph"/>
        <w:numPr>
          <w:ilvl w:val="0"/>
          <w:numId w:val="21"/>
        </w:numPr>
        <w:ind w:left="2160"/>
        <w:jc w:val="both"/>
        <w:rPr>
          <w:b/>
          <w:bCs/>
          <w:sz w:val="24"/>
          <w:szCs w:val="24"/>
        </w:rPr>
      </w:pPr>
      <w:r>
        <w:rPr>
          <w:sz w:val="24"/>
          <w:szCs w:val="24"/>
        </w:rPr>
        <w:t>Only services on the list are eligible for reimbursement.</w:t>
      </w:r>
    </w:p>
    <w:p w14:paraId="6F00622C" w14:textId="4D21C04C" w:rsidR="00B60685" w:rsidRPr="00B60685" w:rsidRDefault="00B60685" w:rsidP="00BA33B4">
      <w:pPr>
        <w:pStyle w:val="ListParagraph"/>
        <w:numPr>
          <w:ilvl w:val="0"/>
          <w:numId w:val="21"/>
        </w:numPr>
        <w:ind w:left="2160"/>
        <w:jc w:val="both"/>
        <w:rPr>
          <w:b/>
          <w:bCs/>
          <w:sz w:val="24"/>
          <w:szCs w:val="24"/>
        </w:rPr>
      </w:pPr>
      <w:r>
        <w:rPr>
          <w:sz w:val="24"/>
          <w:szCs w:val="24"/>
        </w:rPr>
        <w:t>Prior to establishing a telehealth visit, the provider must ensure the service is included on the list.</w:t>
      </w:r>
    </w:p>
    <w:p w14:paraId="37122112" w14:textId="34B6A12E" w:rsidR="00E21B8C" w:rsidRPr="008D30BB" w:rsidRDefault="00B60685" w:rsidP="00BA33B4">
      <w:pPr>
        <w:pStyle w:val="ListParagraph"/>
        <w:numPr>
          <w:ilvl w:val="0"/>
          <w:numId w:val="21"/>
        </w:numPr>
        <w:ind w:left="2160"/>
        <w:jc w:val="both"/>
        <w:rPr>
          <w:b/>
          <w:bCs/>
          <w:sz w:val="24"/>
          <w:szCs w:val="24"/>
        </w:rPr>
      </w:pPr>
      <w:r>
        <w:rPr>
          <w:sz w:val="24"/>
          <w:szCs w:val="24"/>
        </w:rPr>
        <w:t>The list categorizes the services by HCPCS or CPT code.</w:t>
      </w:r>
    </w:p>
    <w:p w14:paraId="663F9DDB" w14:textId="54994BB2" w:rsidR="00903BFE" w:rsidRPr="00903BFE" w:rsidRDefault="00E21B8C" w:rsidP="00BA33B4">
      <w:pPr>
        <w:pStyle w:val="ListParagraph"/>
        <w:numPr>
          <w:ilvl w:val="0"/>
          <w:numId w:val="18"/>
        </w:numPr>
        <w:ind w:left="1440"/>
        <w:jc w:val="both"/>
        <w:rPr>
          <w:b/>
          <w:bCs/>
          <w:sz w:val="24"/>
          <w:szCs w:val="24"/>
        </w:rPr>
      </w:pPr>
      <w:r>
        <w:rPr>
          <w:sz w:val="24"/>
          <w:szCs w:val="24"/>
        </w:rPr>
        <w:t xml:space="preserve">The requirements to bill the specific codes are the same whether done in person or via telehealth. </w:t>
      </w:r>
      <w:r w:rsidRPr="00E21B8C">
        <w:rPr>
          <w:b/>
          <w:bCs/>
          <w:sz w:val="24"/>
          <w:szCs w:val="24"/>
        </w:rPr>
        <w:t>(</w:t>
      </w:r>
      <w:r w:rsidR="00BA33B4">
        <w:rPr>
          <w:b/>
          <w:bCs/>
          <w:sz w:val="24"/>
          <w:szCs w:val="24"/>
        </w:rPr>
        <w:t>Refer</w:t>
      </w:r>
      <w:r w:rsidRPr="00E21B8C">
        <w:rPr>
          <w:b/>
          <w:bCs/>
          <w:sz w:val="24"/>
          <w:szCs w:val="24"/>
        </w:rPr>
        <w:t xml:space="preserve"> to</w:t>
      </w:r>
      <w:r w:rsidR="00214982">
        <w:rPr>
          <w:b/>
          <w:bCs/>
          <w:sz w:val="24"/>
          <w:szCs w:val="24"/>
        </w:rPr>
        <w:t xml:space="preserve"> CAH</w:t>
      </w:r>
      <w:r w:rsidRPr="00E21B8C">
        <w:rPr>
          <w:b/>
          <w:bCs/>
          <w:sz w:val="24"/>
          <w:szCs w:val="24"/>
        </w:rPr>
        <w:t xml:space="preserve"> Documentation policy)</w:t>
      </w:r>
    </w:p>
    <w:bookmarkStart w:id="3" w:name="_Hlk64369809"/>
    <w:p w14:paraId="2E8BDAEC" w14:textId="539D4542" w:rsidR="00E4317B" w:rsidRDefault="0051462A" w:rsidP="00BA33B4">
      <w:pPr>
        <w:pStyle w:val="ListParagraph"/>
        <w:ind w:left="1440"/>
        <w:jc w:val="both"/>
        <w:rPr>
          <w:sz w:val="24"/>
          <w:szCs w:val="24"/>
        </w:rPr>
      </w:pPr>
      <w:r>
        <w:fldChar w:fldCharType="begin"/>
      </w:r>
      <w:r>
        <w:instrText xml:space="preserve"> HYPERLINK "https://www.cms.gov/Medicare/Medicare-General-Information/Telehealth/Telehealth-Codes" </w:instrText>
      </w:r>
      <w:r>
        <w:fldChar w:fldCharType="separate"/>
      </w:r>
      <w:r w:rsidR="00E4317B" w:rsidRPr="00E4317B">
        <w:rPr>
          <w:rStyle w:val="Hyperlink"/>
          <w:sz w:val="24"/>
          <w:szCs w:val="24"/>
        </w:rPr>
        <w:t>https://www.cms.gov/Medicare/Medicare-General-Information/Telehealth/Telehealth-Codes</w:t>
      </w:r>
      <w:r>
        <w:rPr>
          <w:rStyle w:val="Hyperlink"/>
          <w:sz w:val="24"/>
          <w:szCs w:val="24"/>
        </w:rPr>
        <w:fldChar w:fldCharType="end"/>
      </w:r>
      <w:r w:rsidR="00E4317B" w:rsidRPr="00E4317B">
        <w:rPr>
          <w:sz w:val="24"/>
          <w:szCs w:val="24"/>
        </w:rPr>
        <w:t xml:space="preserve"> </w:t>
      </w:r>
    </w:p>
    <w:p w14:paraId="1210AFB6" w14:textId="1344BF93" w:rsidR="00E4317B" w:rsidRDefault="00BA33B4" w:rsidP="008D30BB">
      <w:pPr>
        <w:pStyle w:val="ListParagraph"/>
        <w:ind w:left="225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3C7AF159" wp14:editId="1DE7DE58">
                <wp:simplePos x="0" y="0"/>
                <wp:positionH relativeFrom="column">
                  <wp:posOffset>-83820</wp:posOffset>
                </wp:positionH>
                <wp:positionV relativeFrom="paragraph">
                  <wp:posOffset>233045</wp:posOffset>
                </wp:positionV>
                <wp:extent cx="6106160" cy="1352550"/>
                <wp:effectExtent l="0" t="0" r="27940" b="19050"/>
                <wp:wrapNone/>
                <wp:docPr id="5" name="Rectangle 5"/>
                <wp:cNvGraphicFramePr/>
                <a:graphic xmlns:a="http://schemas.openxmlformats.org/drawingml/2006/main">
                  <a:graphicData uri="http://schemas.microsoft.com/office/word/2010/wordprocessingShape">
                    <wps:wsp>
                      <wps:cNvSpPr/>
                      <wps:spPr>
                        <a:xfrm>
                          <a:off x="0" y="0"/>
                          <a:ext cx="6106160" cy="13525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73FA6" id="Rectangle 5" o:spid="_x0000_s1026" style="position:absolute;margin-left:-6.6pt;margin-top:18.35pt;width:480.8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" filled="f" strokecolor="#7f7f7f"/>
            </w:pict>
          </mc:Fallback>
        </mc:AlternateContent>
      </w:r>
    </w:p>
    <w:bookmarkEnd w:id="3"/>
    <w:p w14:paraId="6E10A1F7" w14:textId="767AAA49" w:rsidR="00640B11" w:rsidRPr="00640B11" w:rsidRDefault="00640B11" w:rsidP="00640B11">
      <w:pPr>
        <w:shd w:val="clear" w:color="auto" w:fill="E7E6E6" w:themeFill="background2"/>
        <w:jc w:val="center"/>
        <w:rPr>
          <w:i/>
          <w:iCs/>
          <w:sz w:val="24"/>
          <w:szCs w:val="24"/>
        </w:rPr>
      </w:pPr>
      <w:r w:rsidRPr="00640B11">
        <w:rPr>
          <w:i/>
          <w:iCs/>
          <w:sz w:val="24"/>
          <w:szCs w:val="24"/>
        </w:rPr>
        <w:t>Temporary PHE Guidance*</w:t>
      </w:r>
    </w:p>
    <w:p w14:paraId="53BF61BB" w14:textId="0920155C" w:rsidR="00640B11" w:rsidRDefault="00640B11" w:rsidP="00640B11">
      <w:pPr>
        <w:shd w:val="clear" w:color="auto" w:fill="E7E6E6" w:themeFill="background2"/>
        <w:jc w:val="both"/>
        <w:rPr>
          <w:i/>
          <w:iCs/>
          <w:sz w:val="24"/>
          <w:szCs w:val="24"/>
        </w:rPr>
      </w:pPr>
      <w:r w:rsidRPr="00640B11">
        <w:rPr>
          <w:i/>
          <w:iCs/>
          <w:sz w:val="24"/>
          <w:szCs w:val="24"/>
        </w:rPr>
        <w:t>-See PHE exceptions to the originating site and see the telehealth covered list for services that may be performed using audio only.</w:t>
      </w:r>
    </w:p>
    <w:p w14:paraId="37E49794" w14:textId="66498CE8" w:rsidR="00640B11" w:rsidRPr="00640B11" w:rsidRDefault="00640B11" w:rsidP="005E32E7">
      <w:pPr>
        <w:shd w:val="clear" w:color="auto" w:fill="E7E6E6" w:themeFill="background2"/>
        <w:rPr>
          <w:i/>
          <w:iCs/>
          <w:sz w:val="24"/>
          <w:szCs w:val="24"/>
        </w:rPr>
      </w:pPr>
      <w:r>
        <w:rPr>
          <w:i/>
          <w:iCs/>
          <w:sz w:val="24"/>
          <w:szCs w:val="24"/>
        </w:rPr>
        <w:t xml:space="preserve">For further reading: </w:t>
      </w:r>
      <w:hyperlink r:id="rId12" w:history="1">
        <w:r w:rsidRPr="00640B11">
          <w:rPr>
            <w:rStyle w:val="Hyperlink"/>
            <w:i/>
            <w:iCs/>
            <w:sz w:val="24"/>
            <w:szCs w:val="24"/>
          </w:rPr>
          <w:t>https://www.cms.gov/Medicare/Medicare-General-Information/Telehealth/Telehealth-Codes</w:t>
        </w:r>
      </w:hyperlink>
      <w:r w:rsidRPr="00640B11">
        <w:rPr>
          <w:i/>
          <w:iCs/>
          <w:sz w:val="24"/>
          <w:szCs w:val="24"/>
        </w:rPr>
        <w:t xml:space="preserve"> </w:t>
      </w:r>
    </w:p>
    <w:p w14:paraId="75FA6737" w14:textId="3A658C07" w:rsidR="00640B11" w:rsidRPr="00E4317B" w:rsidRDefault="00640B11" w:rsidP="008D30BB">
      <w:pPr>
        <w:pStyle w:val="ListParagraph"/>
        <w:ind w:left="2250"/>
        <w:jc w:val="both"/>
        <w:rPr>
          <w:sz w:val="24"/>
          <w:szCs w:val="24"/>
        </w:rPr>
      </w:pPr>
    </w:p>
    <w:p w14:paraId="36C6F40A" w14:textId="66385B8E" w:rsidR="00E21B8C" w:rsidRPr="00E21B8C" w:rsidRDefault="00E21B8C" w:rsidP="00BA33B4">
      <w:pPr>
        <w:pStyle w:val="ListParagraph"/>
        <w:numPr>
          <w:ilvl w:val="0"/>
          <w:numId w:val="2"/>
        </w:numPr>
        <w:ind w:left="720" w:hanging="360"/>
        <w:jc w:val="both"/>
        <w:rPr>
          <w:b/>
          <w:bCs/>
          <w:sz w:val="24"/>
          <w:szCs w:val="24"/>
        </w:rPr>
      </w:pPr>
      <w:r w:rsidRPr="00E21B8C">
        <w:rPr>
          <w:b/>
          <w:bCs/>
          <w:sz w:val="24"/>
          <w:szCs w:val="24"/>
        </w:rPr>
        <w:t xml:space="preserve">Telehealth Services Billing and Payment. </w:t>
      </w:r>
    </w:p>
    <w:p w14:paraId="3DFECEBB" w14:textId="4BD4DAB9" w:rsidR="00B60685" w:rsidRDefault="00E21B8C" w:rsidP="00BA33B4">
      <w:pPr>
        <w:pStyle w:val="ListParagraph"/>
        <w:numPr>
          <w:ilvl w:val="0"/>
          <w:numId w:val="22"/>
        </w:numPr>
        <w:ind w:left="1440"/>
        <w:jc w:val="both"/>
        <w:rPr>
          <w:sz w:val="24"/>
          <w:szCs w:val="24"/>
        </w:rPr>
      </w:pPr>
      <w:r>
        <w:rPr>
          <w:sz w:val="24"/>
          <w:szCs w:val="24"/>
        </w:rPr>
        <w:t xml:space="preserve">Telehealth services must be provided by a </w:t>
      </w:r>
      <w:r w:rsidRPr="00E21B8C">
        <w:rPr>
          <w:b/>
          <w:bCs/>
          <w:sz w:val="24"/>
          <w:szCs w:val="24"/>
        </w:rPr>
        <w:t>healthcare practitioner who is authorized to bill Medicare for their professional services</w:t>
      </w:r>
      <w:r w:rsidR="00195002">
        <w:rPr>
          <w:sz w:val="24"/>
          <w:szCs w:val="24"/>
        </w:rPr>
        <w:t>. Distant site practitioners include</w:t>
      </w:r>
      <w:r w:rsidR="00EF0A23">
        <w:rPr>
          <w:sz w:val="24"/>
          <w:szCs w:val="24"/>
        </w:rPr>
        <w:t xml:space="preserve"> </w:t>
      </w:r>
      <w:r w:rsidR="00EF0A23" w:rsidRPr="00EF0A23">
        <w:rPr>
          <w:b/>
          <w:bCs/>
          <w:sz w:val="24"/>
          <w:szCs w:val="24"/>
        </w:rPr>
        <w:t>(</w:t>
      </w:r>
      <w:r w:rsidR="00A064DE">
        <w:rPr>
          <w:b/>
          <w:bCs/>
          <w:sz w:val="24"/>
          <w:szCs w:val="24"/>
        </w:rPr>
        <w:t>s</w:t>
      </w:r>
      <w:r w:rsidR="00EF0A23" w:rsidRPr="00EF0A23">
        <w:rPr>
          <w:b/>
          <w:bCs/>
          <w:sz w:val="24"/>
          <w:szCs w:val="24"/>
        </w:rPr>
        <w:t>ubject to state law)</w:t>
      </w:r>
      <w:r w:rsidR="00195002">
        <w:rPr>
          <w:sz w:val="24"/>
          <w:szCs w:val="24"/>
        </w:rPr>
        <w:t>:</w:t>
      </w:r>
    </w:p>
    <w:p w14:paraId="0D484DA8" w14:textId="5AD94D5F" w:rsidR="0029071D" w:rsidRPr="0029071D" w:rsidRDefault="0029071D" w:rsidP="00BA33B4">
      <w:pPr>
        <w:pStyle w:val="ListParagraph"/>
        <w:ind w:left="1440"/>
        <w:jc w:val="both"/>
        <w:rPr>
          <w:b/>
          <w:bCs/>
          <w:sz w:val="24"/>
          <w:szCs w:val="24"/>
        </w:rPr>
      </w:pPr>
      <w:r w:rsidRPr="0029071D">
        <w:rPr>
          <w:b/>
          <w:bCs/>
          <w:sz w:val="24"/>
          <w:szCs w:val="24"/>
        </w:rPr>
        <w:t>(</w:t>
      </w:r>
      <w:r w:rsidR="00BA33B4">
        <w:rPr>
          <w:b/>
          <w:bCs/>
          <w:sz w:val="24"/>
          <w:szCs w:val="24"/>
        </w:rPr>
        <w:t>Refer</w:t>
      </w:r>
      <w:r w:rsidRPr="0029071D">
        <w:rPr>
          <w:b/>
          <w:bCs/>
          <w:sz w:val="24"/>
          <w:szCs w:val="24"/>
        </w:rPr>
        <w:t xml:space="preserve"> to CAH Site Requirements policy)</w:t>
      </w:r>
    </w:p>
    <w:p w14:paraId="5F16B30F" w14:textId="68D01DC1" w:rsidR="00195002" w:rsidRDefault="00195002" w:rsidP="00BA33B4">
      <w:pPr>
        <w:pStyle w:val="ListParagraph"/>
        <w:numPr>
          <w:ilvl w:val="0"/>
          <w:numId w:val="23"/>
        </w:numPr>
        <w:ind w:left="2160"/>
        <w:jc w:val="both"/>
        <w:rPr>
          <w:sz w:val="24"/>
          <w:szCs w:val="24"/>
        </w:rPr>
      </w:pPr>
      <w:r>
        <w:rPr>
          <w:sz w:val="24"/>
          <w:szCs w:val="24"/>
        </w:rPr>
        <w:t>Physicians</w:t>
      </w:r>
    </w:p>
    <w:p w14:paraId="43798321" w14:textId="7C81DD7B" w:rsidR="00195002" w:rsidRDefault="00195002" w:rsidP="00BA33B4">
      <w:pPr>
        <w:pStyle w:val="ListParagraph"/>
        <w:numPr>
          <w:ilvl w:val="0"/>
          <w:numId w:val="23"/>
        </w:numPr>
        <w:ind w:left="2160"/>
        <w:jc w:val="both"/>
        <w:rPr>
          <w:sz w:val="24"/>
          <w:szCs w:val="24"/>
        </w:rPr>
      </w:pPr>
      <w:r>
        <w:rPr>
          <w:sz w:val="24"/>
          <w:szCs w:val="24"/>
        </w:rPr>
        <w:t>Nurse practitioners (NPs)</w:t>
      </w:r>
    </w:p>
    <w:p w14:paraId="178C0DA8" w14:textId="70DAC1AB" w:rsidR="00195002" w:rsidRDefault="00195002" w:rsidP="00BA33B4">
      <w:pPr>
        <w:pStyle w:val="ListParagraph"/>
        <w:numPr>
          <w:ilvl w:val="0"/>
          <w:numId w:val="23"/>
        </w:numPr>
        <w:ind w:left="2160"/>
        <w:jc w:val="both"/>
        <w:rPr>
          <w:sz w:val="24"/>
          <w:szCs w:val="24"/>
        </w:rPr>
      </w:pPr>
      <w:r>
        <w:rPr>
          <w:sz w:val="24"/>
          <w:szCs w:val="24"/>
        </w:rPr>
        <w:t>Physician assistants (PAs)</w:t>
      </w:r>
    </w:p>
    <w:p w14:paraId="01811607" w14:textId="0AAD2BE2" w:rsidR="00195002" w:rsidRDefault="00195002" w:rsidP="00BA33B4">
      <w:pPr>
        <w:pStyle w:val="ListParagraph"/>
        <w:numPr>
          <w:ilvl w:val="0"/>
          <w:numId w:val="23"/>
        </w:numPr>
        <w:ind w:left="2160"/>
        <w:jc w:val="both"/>
        <w:rPr>
          <w:sz w:val="24"/>
          <w:szCs w:val="24"/>
        </w:rPr>
      </w:pPr>
      <w:r>
        <w:rPr>
          <w:sz w:val="24"/>
          <w:szCs w:val="24"/>
        </w:rPr>
        <w:t>Nurse-midwives</w:t>
      </w:r>
    </w:p>
    <w:p w14:paraId="30792EB5" w14:textId="496A5351" w:rsidR="00195002" w:rsidRDefault="00195002" w:rsidP="00BA33B4">
      <w:pPr>
        <w:pStyle w:val="ListParagraph"/>
        <w:numPr>
          <w:ilvl w:val="0"/>
          <w:numId w:val="23"/>
        </w:numPr>
        <w:ind w:left="2160"/>
        <w:jc w:val="both"/>
        <w:rPr>
          <w:sz w:val="24"/>
          <w:szCs w:val="24"/>
        </w:rPr>
      </w:pPr>
      <w:r>
        <w:rPr>
          <w:sz w:val="24"/>
          <w:szCs w:val="24"/>
        </w:rPr>
        <w:t>Clinical nurse specialists (CNSs)</w:t>
      </w:r>
    </w:p>
    <w:p w14:paraId="0F0B2DC9" w14:textId="0B8277F2" w:rsidR="00195002" w:rsidRDefault="00195002" w:rsidP="00BA33B4">
      <w:pPr>
        <w:pStyle w:val="ListParagraph"/>
        <w:numPr>
          <w:ilvl w:val="0"/>
          <w:numId w:val="23"/>
        </w:numPr>
        <w:ind w:left="2160"/>
        <w:jc w:val="both"/>
        <w:rPr>
          <w:sz w:val="24"/>
          <w:szCs w:val="24"/>
        </w:rPr>
      </w:pPr>
      <w:r>
        <w:rPr>
          <w:sz w:val="24"/>
          <w:szCs w:val="24"/>
        </w:rPr>
        <w:t>Certified registered nurse anesthetists</w:t>
      </w:r>
    </w:p>
    <w:p w14:paraId="4646CC6A" w14:textId="37B870E0" w:rsidR="00640B11" w:rsidRDefault="00195002" w:rsidP="00BA33B4">
      <w:pPr>
        <w:pStyle w:val="ListParagraph"/>
        <w:numPr>
          <w:ilvl w:val="0"/>
          <w:numId w:val="23"/>
        </w:numPr>
        <w:ind w:left="2160"/>
        <w:jc w:val="both"/>
        <w:rPr>
          <w:sz w:val="24"/>
          <w:szCs w:val="24"/>
        </w:rPr>
      </w:pPr>
      <w:r>
        <w:rPr>
          <w:sz w:val="24"/>
          <w:szCs w:val="24"/>
        </w:rPr>
        <w:t>Clinical psychologists (CPs</w:t>
      </w:r>
      <w:r w:rsidR="008069C0">
        <w:rPr>
          <w:sz w:val="24"/>
          <w:szCs w:val="24"/>
        </w:rPr>
        <w:t>)</w:t>
      </w:r>
    </w:p>
    <w:p w14:paraId="39CF0064" w14:textId="77777777" w:rsidR="00BA33B4" w:rsidRPr="00BA33B4" w:rsidRDefault="00BA33B4" w:rsidP="00BA33B4">
      <w:pPr>
        <w:jc w:val="both"/>
        <w:rPr>
          <w:sz w:val="24"/>
          <w:szCs w:val="24"/>
        </w:rPr>
      </w:pPr>
    </w:p>
    <w:p w14:paraId="21AE3A22" w14:textId="6FB7A952" w:rsidR="00195002" w:rsidRDefault="00640B11" w:rsidP="00BA33B4">
      <w:pPr>
        <w:pStyle w:val="ListParagraph"/>
        <w:numPr>
          <w:ilvl w:val="0"/>
          <w:numId w:val="23"/>
        </w:numPr>
        <w:ind w:left="2160"/>
        <w:jc w:val="both"/>
        <w:rPr>
          <w:sz w:val="24"/>
          <w:szCs w:val="24"/>
        </w:rPr>
      </w:pPr>
      <w:r>
        <w:rPr>
          <w:sz w:val="24"/>
          <w:szCs w:val="24"/>
        </w:rPr>
        <w:lastRenderedPageBreak/>
        <w:t>C</w:t>
      </w:r>
      <w:r w:rsidR="00195002">
        <w:rPr>
          <w:sz w:val="24"/>
          <w:szCs w:val="24"/>
        </w:rPr>
        <w:t>linical social workers (CSWs)</w:t>
      </w:r>
    </w:p>
    <w:p w14:paraId="76A671DE" w14:textId="0CCE8D95" w:rsidR="0029071D" w:rsidRPr="0029071D" w:rsidRDefault="00530162" w:rsidP="00BA33B4">
      <w:pPr>
        <w:pStyle w:val="ListParagraph"/>
        <w:spacing w:after="0"/>
        <w:ind w:left="2160"/>
        <w:jc w:val="both"/>
        <w:rPr>
          <w:rFonts w:cstheme="minorHAnsi"/>
          <w:b/>
          <w:bCs/>
          <w:sz w:val="24"/>
          <w:szCs w:val="24"/>
        </w:rPr>
      </w:pPr>
      <w:r>
        <w:rPr>
          <w:rFonts w:cstheme="minorHAnsi"/>
          <w:b/>
          <w:bCs/>
          <w:sz w:val="24"/>
          <w:szCs w:val="24"/>
        </w:rPr>
        <w:t>“</w:t>
      </w:r>
      <w:r w:rsidR="00CF4D7E" w:rsidRPr="00CF4D7E">
        <w:rPr>
          <w:rFonts w:cstheme="minorHAnsi"/>
          <w:b/>
          <w:bCs/>
          <w:sz w:val="24"/>
          <w:szCs w:val="24"/>
        </w:rPr>
        <w:t>CPs and CSWs cannot bill Medicare for psychiatric diagnostic interview examinations with medical services or medical evaluation and management services. They cannot bill or get paid for Current Procedural Terminology (CPT) codes 90792, 90833, 90836, and 90838.</w:t>
      </w:r>
      <w:r>
        <w:rPr>
          <w:rFonts w:cstheme="minorHAnsi"/>
          <w:b/>
          <w:bCs/>
          <w:sz w:val="24"/>
          <w:szCs w:val="24"/>
        </w:rPr>
        <w:t>” (p. 6)</w:t>
      </w:r>
    </w:p>
    <w:p w14:paraId="69285FC7" w14:textId="59EC3D0D" w:rsidR="00CF4D7E" w:rsidRPr="00640B11" w:rsidRDefault="00195002" w:rsidP="00BA33B4">
      <w:pPr>
        <w:pStyle w:val="ListParagraph"/>
        <w:numPr>
          <w:ilvl w:val="0"/>
          <w:numId w:val="23"/>
        </w:numPr>
        <w:spacing w:after="0"/>
        <w:ind w:left="2160"/>
        <w:jc w:val="both"/>
        <w:rPr>
          <w:sz w:val="24"/>
          <w:szCs w:val="24"/>
        </w:rPr>
      </w:pPr>
      <w:r>
        <w:rPr>
          <w:sz w:val="24"/>
          <w:szCs w:val="24"/>
        </w:rPr>
        <w:t>Registered dietitians or nutrition professional</w:t>
      </w:r>
    </w:p>
    <w:p w14:paraId="4026A2FF" w14:textId="3CEAF5DE" w:rsidR="00CF4D7E" w:rsidRPr="000465AC" w:rsidRDefault="005C007A" w:rsidP="00BA33B4">
      <w:pPr>
        <w:ind w:left="2160"/>
        <w:jc w:val="both"/>
        <w:rPr>
          <w:sz w:val="24"/>
          <w:szCs w:val="24"/>
        </w:rPr>
      </w:pPr>
      <w:hyperlink r:id="rId13" w:history="1">
        <w:r w:rsidR="0029071D" w:rsidRPr="00367D9A">
          <w:rPr>
            <w:rStyle w:val="Hyperlink"/>
            <w:rFonts w:cstheme="minorHAnsi"/>
            <w:sz w:val="24"/>
            <w:szCs w:val="24"/>
          </w:rPr>
          <w:t>https://www.cms.gov/Outreach-and-Education/Medicare-Learning-Network-MLN/MLNProducts/Downloads/TelehealthSrvcsfctsht.pdf</w:t>
        </w:r>
      </w:hyperlink>
    </w:p>
    <w:p w14:paraId="160A4B1C" w14:textId="5F37FA4C" w:rsidR="00144A38" w:rsidRPr="000465AC" w:rsidRDefault="00B45773" w:rsidP="00BA33B4">
      <w:pPr>
        <w:pStyle w:val="ListParagraph"/>
        <w:numPr>
          <w:ilvl w:val="0"/>
          <w:numId w:val="22"/>
        </w:numPr>
        <w:ind w:left="1440"/>
        <w:jc w:val="both"/>
        <w:rPr>
          <w:sz w:val="24"/>
          <w:szCs w:val="24"/>
        </w:rPr>
      </w:pPr>
      <w:r>
        <w:rPr>
          <w:sz w:val="24"/>
          <w:szCs w:val="24"/>
        </w:rPr>
        <w:t>Once an approved telehealth service has been provided, the corresponding HCPCS or CPT code will be assigned, to include the appropriate place of service code as telehealth (02).</w:t>
      </w:r>
    </w:p>
    <w:p w14:paraId="5183A5E7" w14:textId="1CDCB9C1" w:rsidR="00144A38" w:rsidRDefault="00F13255" w:rsidP="008D30BB">
      <w:pPr>
        <w:pStyle w:val="ListParagraph"/>
        <w:ind w:left="2160"/>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5ACEE9DF" wp14:editId="5E2FC05E">
                <wp:simplePos x="0" y="0"/>
                <wp:positionH relativeFrom="column">
                  <wp:posOffset>-64770</wp:posOffset>
                </wp:positionH>
                <wp:positionV relativeFrom="paragraph">
                  <wp:posOffset>265430</wp:posOffset>
                </wp:positionV>
                <wp:extent cx="6060934" cy="5113020"/>
                <wp:effectExtent l="0" t="0" r="16510" b="11430"/>
                <wp:wrapNone/>
                <wp:docPr id="6" name="Rectangle 6"/>
                <wp:cNvGraphicFramePr/>
                <a:graphic xmlns:a="http://schemas.openxmlformats.org/drawingml/2006/main">
                  <a:graphicData uri="http://schemas.microsoft.com/office/word/2010/wordprocessingShape">
                    <wps:wsp>
                      <wps:cNvSpPr/>
                      <wps:spPr>
                        <a:xfrm>
                          <a:off x="0" y="0"/>
                          <a:ext cx="6060934" cy="51130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C2CCD" id="Rectangle 6" o:spid="_x0000_s1026" style="position:absolute;margin-left:-5.1pt;margin-top:20.9pt;width:477.25pt;height:402.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" filled="f" strokecolor="#7f7f7f"/>
            </w:pict>
          </mc:Fallback>
        </mc:AlternateContent>
      </w:r>
    </w:p>
    <w:p w14:paraId="32880A96" w14:textId="1640C9EE" w:rsidR="0052310F" w:rsidRDefault="0052310F" w:rsidP="008D30BB">
      <w:pPr>
        <w:shd w:val="clear" w:color="auto" w:fill="E7E6E6" w:themeFill="background2"/>
        <w:jc w:val="center"/>
        <w:rPr>
          <w:i/>
          <w:iCs/>
          <w:sz w:val="24"/>
          <w:szCs w:val="24"/>
        </w:rPr>
      </w:pPr>
      <w:r w:rsidRPr="00953B05">
        <w:rPr>
          <w:i/>
          <w:iCs/>
          <w:sz w:val="24"/>
          <w:szCs w:val="24"/>
        </w:rPr>
        <w:t>Temporary PHE Guidance*</w:t>
      </w:r>
    </w:p>
    <w:p w14:paraId="4E8F6243" w14:textId="70322D5B" w:rsidR="00953B05" w:rsidRDefault="00953B05" w:rsidP="008D30BB">
      <w:pPr>
        <w:shd w:val="clear" w:color="auto" w:fill="E7E6E6" w:themeFill="background2"/>
        <w:jc w:val="both"/>
        <w:rPr>
          <w:i/>
          <w:iCs/>
          <w:sz w:val="24"/>
          <w:szCs w:val="24"/>
        </w:rPr>
      </w:pPr>
      <w:r>
        <w:rPr>
          <w:i/>
          <w:iCs/>
          <w:sz w:val="24"/>
          <w:szCs w:val="24"/>
        </w:rPr>
        <w:t>-See PHE exception to POS code: “The IFC directs physicians and practitioners who bill for Medicare telehealth services to report the place of service (POS) code that would have been reported had the service been furnished in person. This will allow our systems to make appropriate payment for services furnished via Medicare telehealth which, if not for the PHE for the COVID-19 pandemic, would have been furnished in person, at the same rate they would have been paid if the services were furnished in person.” (p. 68)</w:t>
      </w:r>
    </w:p>
    <w:p w14:paraId="5002DCCA" w14:textId="485B0210" w:rsidR="00953B05" w:rsidRDefault="00953B05" w:rsidP="005E32E7">
      <w:pPr>
        <w:shd w:val="clear" w:color="auto" w:fill="E7E6E6" w:themeFill="background2"/>
        <w:rPr>
          <w:i/>
          <w:iCs/>
          <w:sz w:val="24"/>
          <w:szCs w:val="24"/>
        </w:rPr>
      </w:pPr>
      <w:r>
        <w:rPr>
          <w:i/>
          <w:iCs/>
          <w:sz w:val="24"/>
          <w:szCs w:val="24"/>
        </w:rPr>
        <w:t xml:space="preserve">For further reading: </w:t>
      </w:r>
      <w:hyperlink r:id="rId14" w:history="1">
        <w:r w:rsidRPr="008C36BB">
          <w:rPr>
            <w:rStyle w:val="Hyperlink"/>
            <w:i/>
            <w:iCs/>
            <w:sz w:val="24"/>
            <w:szCs w:val="24"/>
          </w:rPr>
          <w:t>https://www.cms.gov/files/document/03092020-covid-19-faqs-508.pdf</w:t>
        </w:r>
      </w:hyperlink>
      <w:r>
        <w:rPr>
          <w:i/>
          <w:iCs/>
          <w:sz w:val="24"/>
          <w:szCs w:val="24"/>
        </w:rPr>
        <w:t xml:space="preserve"> </w:t>
      </w:r>
    </w:p>
    <w:p w14:paraId="2BE37A6B" w14:textId="2B62B3B5" w:rsidR="00DC0B49" w:rsidRDefault="00DC0B49" w:rsidP="00DC0B49">
      <w:pPr>
        <w:shd w:val="clear" w:color="auto" w:fill="E7E6E6" w:themeFill="background2"/>
        <w:jc w:val="both"/>
        <w:rPr>
          <w:rFonts w:cstheme="minorHAnsi"/>
          <w:sz w:val="24"/>
          <w:szCs w:val="24"/>
        </w:rPr>
      </w:pPr>
      <w:r>
        <w:rPr>
          <w:rFonts w:cstheme="minorHAnsi"/>
          <w:i/>
          <w:iCs/>
          <w:sz w:val="24"/>
          <w:szCs w:val="24"/>
        </w:rPr>
        <w:t>-For the beneficiary location for telehealth services, “</w:t>
      </w:r>
      <w:r w:rsidRPr="002356FE">
        <w:rPr>
          <w:rFonts w:cstheme="minorHAnsi"/>
          <w:i/>
          <w:iCs/>
          <w:sz w:val="24"/>
          <w:szCs w:val="24"/>
        </w:rPr>
        <w:t>Medicare can pay for</w:t>
      </w:r>
      <w:r>
        <w:rPr>
          <w:rFonts w:cstheme="minorHAnsi"/>
          <w:i/>
          <w:iCs/>
          <w:sz w:val="24"/>
          <w:szCs w:val="24"/>
        </w:rPr>
        <w:t xml:space="preserve"> </w:t>
      </w:r>
      <w:r w:rsidRPr="002356FE">
        <w:rPr>
          <w:rFonts w:cstheme="minorHAnsi"/>
          <w:i/>
          <w:iCs/>
          <w:sz w:val="24"/>
          <w:szCs w:val="24"/>
        </w:rPr>
        <w:t>many types of</w:t>
      </w:r>
      <w:r>
        <w:rPr>
          <w:rFonts w:cstheme="minorHAnsi"/>
          <w:i/>
          <w:iCs/>
          <w:sz w:val="24"/>
          <w:szCs w:val="24"/>
        </w:rPr>
        <w:t xml:space="preserve"> </w:t>
      </w:r>
      <w:r w:rsidRPr="002356FE">
        <w:rPr>
          <w:rFonts w:cstheme="minorHAnsi"/>
          <w:i/>
          <w:iCs/>
          <w:sz w:val="24"/>
          <w:szCs w:val="24"/>
        </w:rPr>
        <w:t>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r>
        <w:rPr>
          <w:rFonts w:ascii="Arial" w:hAnsi="Arial" w:cs="Arial"/>
          <w:sz w:val="16"/>
          <w:szCs w:val="16"/>
        </w:rPr>
        <w:t>.</w:t>
      </w:r>
      <w:r>
        <w:rPr>
          <w:rFonts w:cstheme="minorHAnsi"/>
          <w:sz w:val="24"/>
          <w:szCs w:val="24"/>
        </w:rPr>
        <w:t>”</w:t>
      </w:r>
    </w:p>
    <w:p w14:paraId="138AEEBA" w14:textId="24228601" w:rsidR="0029071D" w:rsidRDefault="00DC0B49" w:rsidP="00BA33B4">
      <w:pPr>
        <w:shd w:val="clear" w:color="auto" w:fill="E7E6E6" w:themeFill="background2"/>
        <w:jc w:val="both"/>
        <w:rPr>
          <w:i/>
          <w:iCs/>
          <w:sz w:val="24"/>
          <w:szCs w:val="24"/>
        </w:rPr>
      </w:pPr>
      <w:bookmarkStart w:id="4" w:name="_Hlk64369951"/>
      <w:r>
        <w:rPr>
          <w:rFonts w:cstheme="minorHAnsi"/>
          <w:i/>
          <w:iCs/>
          <w:sz w:val="24"/>
          <w:szCs w:val="24"/>
        </w:rPr>
        <w:t xml:space="preserve">For further reading: </w:t>
      </w:r>
      <w:hyperlink r:id="rId15" w:history="1">
        <w:r w:rsidRPr="002D5370">
          <w:rPr>
            <w:rStyle w:val="Hyperlink"/>
            <w:rFonts w:cstheme="minorHAnsi"/>
            <w:i/>
            <w:iCs/>
            <w:sz w:val="24"/>
            <w:szCs w:val="24"/>
          </w:rPr>
          <w:t>https://www.cms.gov/files/document/omh-rural-crosswalk.pdf</w:t>
        </w:r>
      </w:hyperlink>
      <w:bookmarkEnd w:id="4"/>
    </w:p>
    <w:p w14:paraId="1F68D387" w14:textId="77777777" w:rsidR="00640B11" w:rsidRPr="00DC0B49" w:rsidRDefault="00640B11" w:rsidP="00640B11">
      <w:pPr>
        <w:shd w:val="clear" w:color="auto" w:fill="E7E6E6" w:themeFill="background2"/>
        <w:rPr>
          <w:rFonts w:cstheme="minorHAnsi"/>
          <w:i/>
          <w:iCs/>
          <w:sz w:val="24"/>
          <w:szCs w:val="24"/>
        </w:rPr>
      </w:pPr>
      <w:r w:rsidRPr="002356FE">
        <w:rPr>
          <w:rFonts w:cstheme="minorHAnsi"/>
          <w:i/>
          <w:iCs/>
          <w:sz w:val="24"/>
          <w:szCs w:val="24"/>
        </w:rPr>
        <w:t>“CMS is waiving the requirements of section 1834(m)(4)(E) of the Social Security Act and 42 CFR § 410.78 (b)(2) which specify the types of practitioners that may bill for their services when furnished as Medicare telehealth services from the distant site. The waiver of these requirements expands the types of health care professionals that can furnish distant site telehealth services to include all those that are eligible to bill Medicare for their professional services. This allows health care professionals who were previously ineligible to furnish and bill for Medicare telehealth services, including physical therapists, occupational therapists, speech language pathologists, and others, to receive payment for Medicare telehealth services.”</w:t>
      </w:r>
    </w:p>
    <w:p w14:paraId="6E60C83A" w14:textId="02D054C3" w:rsidR="0029071D" w:rsidRPr="00640B11" w:rsidRDefault="00640B11" w:rsidP="00640B11">
      <w:pPr>
        <w:shd w:val="clear" w:color="auto" w:fill="E7E6E6" w:themeFill="background2"/>
        <w:jc w:val="both"/>
        <w:rPr>
          <w:rFonts w:cstheme="minorHAnsi"/>
          <w:i/>
          <w:iCs/>
          <w:sz w:val="24"/>
          <w:szCs w:val="24"/>
        </w:rPr>
      </w:pPr>
      <w:r>
        <w:rPr>
          <w:rFonts w:cstheme="minorHAnsi"/>
          <w:i/>
          <w:iCs/>
          <w:sz w:val="24"/>
          <w:szCs w:val="24"/>
        </w:rPr>
        <w:t xml:space="preserve">For further reading: </w:t>
      </w:r>
      <w:hyperlink r:id="rId16" w:history="1">
        <w:r w:rsidRPr="002D5370">
          <w:rPr>
            <w:rStyle w:val="Hyperlink"/>
            <w:rFonts w:cstheme="minorHAnsi"/>
            <w:i/>
            <w:iCs/>
            <w:sz w:val="24"/>
            <w:szCs w:val="24"/>
          </w:rPr>
          <w:t>https://www.cms.gov/files/document/omh-rural-crosswalk.pdf</w:t>
        </w:r>
      </w:hyperlink>
    </w:p>
    <w:p w14:paraId="22F2DB23" w14:textId="2E2443E8" w:rsidR="00F13255" w:rsidRDefault="00F13255" w:rsidP="00F13255">
      <w:pPr>
        <w:pStyle w:val="Footer"/>
        <w:spacing w:before="120"/>
      </w:pPr>
      <w:r>
        <w:t>*Temporary guidance related to Public Health Emergency (PHE)</w:t>
      </w:r>
    </w:p>
    <w:p w14:paraId="404DE7B5" w14:textId="07BEEF16" w:rsidR="00F13255" w:rsidRDefault="00F13255" w:rsidP="00F13255">
      <w:pPr>
        <w:pStyle w:val="Footer"/>
        <w:spacing w:before="120"/>
      </w:pPr>
    </w:p>
    <w:p w14:paraId="42E6DAC9" w14:textId="77777777" w:rsidR="00F13255" w:rsidRDefault="00F13255" w:rsidP="00F13255">
      <w:pPr>
        <w:pStyle w:val="Footer"/>
        <w:spacing w:before="120"/>
      </w:pPr>
    </w:p>
    <w:p w14:paraId="5B03AD62" w14:textId="3CACCCD6" w:rsidR="007E5129" w:rsidRPr="007E5129" w:rsidRDefault="007E5129" w:rsidP="00F13255">
      <w:pPr>
        <w:pStyle w:val="ListParagraph"/>
        <w:numPr>
          <w:ilvl w:val="0"/>
          <w:numId w:val="2"/>
        </w:numPr>
        <w:ind w:left="720" w:hanging="360"/>
        <w:jc w:val="both"/>
        <w:rPr>
          <w:b/>
          <w:bCs/>
          <w:sz w:val="24"/>
          <w:szCs w:val="24"/>
        </w:rPr>
      </w:pPr>
      <w:r w:rsidRPr="007E5129">
        <w:rPr>
          <w:b/>
          <w:bCs/>
          <w:sz w:val="24"/>
          <w:szCs w:val="24"/>
        </w:rPr>
        <w:t xml:space="preserve">Telehealth Originating Site Billing and Payment. </w:t>
      </w:r>
    </w:p>
    <w:p w14:paraId="107EF268" w14:textId="1ACE96CB" w:rsidR="00953B05" w:rsidRPr="00144A38" w:rsidRDefault="007E5129" w:rsidP="00F13255">
      <w:pPr>
        <w:pStyle w:val="ListParagraph"/>
        <w:numPr>
          <w:ilvl w:val="0"/>
          <w:numId w:val="26"/>
        </w:numPr>
        <w:ind w:left="1440"/>
        <w:jc w:val="both"/>
        <w:rPr>
          <w:sz w:val="24"/>
          <w:szCs w:val="24"/>
        </w:rPr>
      </w:pPr>
      <w:r>
        <w:rPr>
          <w:sz w:val="24"/>
          <w:szCs w:val="24"/>
        </w:rPr>
        <w:t>The originating site may bill for a separately billable Part B originating site facility fee using the HCPCS code Q3014</w:t>
      </w:r>
      <w:r w:rsidR="007A58B4">
        <w:rPr>
          <w:sz w:val="24"/>
          <w:szCs w:val="24"/>
        </w:rPr>
        <w:t>.</w:t>
      </w:r>
    </w:p>
    <w:p w14:paraId="39F3FDE4" w14:textId="7B130135" w:rsidR="007A58B4" w:rsidRDefault="007A58B4" w:rsidP="00F13255">
      <w:pPr>
        <w:pStyle w:val="ListParagraph"/>
        <w:numPr>
          <w:ilvl w:val="0"/>
          <w:numId w:val="26"/>
        </w:numPr>
        <w:ind w:left="1440"/>
        <w:jc w:val="both"/>
        <w:rPr>
          <w:sz w:val="24"/>
          <w:szCs w:val="24"/>
        </w:rPr>
      </w:pPr>
      <w:r>
        <w:rPr>
          <w:sz w:val="24"/>
          <w:szCs w:val="24"/>
        </w:rPr>
        <w:t>Authorized originating sites include:</w:t>
      </w:r>
    </w:p>
    <w:p w14:paraId="23224A7D" w14:textId="187FF835" w:rsidR="007A58B4" w:rsidRDefault="007A58B4" w:rsidP="00F13255">
      <w:pPr>
        <w:pStyle w:val="ListParagraph"/>
        <w:numPr>
          <w:ilvl w:val="0"/>
          <w:numId w:val="28"/>
        </w:numPr>
        <w:ind w:left="2160"/>
        <w:jc w:val="both"/>
        <w:rPr>
          <w:sz w:val="24"/>
          <w:szCs w:val="24"/>
        </w:rPr>
      </w:pPr>
      <w:r>
        <w:rPr>
          <w:sz w:val="24"/>
          <w:szCs w:val="24"/>
        </w:rPr>
        <w:t>Physician or practitioner office</w:t>
      </w:r>
    </w:p>
    <w:p w14:paraId="0E14CFA3" w14:textId="4B60267E" w:rsidR="007A58B4" w:rsidRDefault="007A58B4" w:rsidP="00F13255">
      <w:pPr>
        <w:pStyle w:val="ListParagraph"/>
        <w:numPr>
          <w:ilvl w:val="0"/>
          <w:numId w:val="28"/>
        </w:numPr>
        <w:ind w:left="2160"/>
        <w:jc w:val="both"/>
        <w:rPr>
          <w:sz w:val="24"/>
          <w:szCs w:val="24"/>
        </w:rPr>
      </w:pPr>
      <w:r>
        <w:rPr>
          <w:sz w:val="24"/>
          <w:szCs w:val="24"/>
        </w:rPr>
        <w:t>Hospitals</w:t>
      </w:r>
    </w:p>
    <w:p w14:paraId="28E63DBB" w14:textId="366E953D" w:rsidR="007A58B4" w:rsidRDefault="007A58B4" w:rsidP="00F13255">
      <w:pPr>
        <w:pStyle w:val="ListParagraph"/>
        <w:numPr>
          <w:ilvl w:val="0"/>
          <w:numId w:val="28"/>
        </w:numPr>
        <w:ind w:left="2160"/>
        <w:jc w:val="both"/>
        <w:rPr>
          <w:sz w:val="24"/>
          <w:szCs w:val="24"/>
        </w:rPr>
      </w:pPr>
      <w:r>
        <w:rPr>
          <w:sz w:val="24"/>
          <w:szCs w:val="24"/>
        </w:rPr>
        <w:t>Critical access hospitals (CAHs)</w:t>
      </w:r>
    </w:p>
    <w:p w14:paraId="17DC11B7" w14:textId="7F3EB726" w:rsidR="007A58B4" w:rsidRDefault="007A58B4" w:rsidP="00F13255">
      <w:pPr>
        <w:pStyle w:val="ListParagraph"/>
        <w:numPr>
          <w:ilvl w:val="0"/>
          <w:numId w:val="28"/>
        </w:numPr>
        <w:ind w:left="2160"/>
        <w:jc w:val="both"/>
        <w:rPr>
          <w:sz w:val="24"/>
          <w:szCs w:val="24"/>
        </w:rPr>
      </w:pPr>
      <w:r>
        <w:rPr>
          <w:sz w:val="24"/>
          <w:szCs w:val="24"/>
        </w:rPr>
        <w:t>Rural health clinic (RHCs)</w:t>
      </w:r>
    </w:p>
    <w:p w14:paraId="61AA8FFE" w14:textId="3FF547EE" w:rsidR="007A58B4" w:rsidRDefault="007A58B4" w:rsidP="00F13255">
      <w:pPr>
        <w:pStyle w:val="ListParagraph"/>
        <w:numPr>
          <w:ilvl w:val="0"/>
          <w:numId w:val="28"/>
        </w:numPr>
        <w:ind w:left="2160"/>
        <w:jc w:val="both"/>
        <w:rPr>
          <w:sz w:val="24"/>
          <w:szCs w:val="24"/>
        </w:rPr>
      </w:pPr>
      <w:r>
        <w:rPr>
          <w:sz w:val="24"/>
          <w:szCs w:val="24"/>
        </w:rPr>
        <w:t>Federally qualified health center (FQHCs)</w:t>
      </w:r>
    </w:p>
    <w:p w14:paraId="3FD55C0A" w14:textId="4E93A14B" w:rsidR="007A58B4" w:rsidRDefault="007A58B4" w:rsidP="00F13255">
      <w:pPr>
        <w:pStyle w:val="ListParagraph"/>
        <w:numPr>
          <w:ilvl w:val="0"/>
          <w:numId w:val="28"/>
        </w:numPr>
        <w:ind w:left="2160"/>
        <w:jc w:val="both"/>
        <w:rPr>
          <w:sz w:val="24"/>
          <w:szCs w:val="24"/>
        </w:rPr>
      </w:pPr>
      <w:r>
        <w:rPr>
          <w:sz w:val="24"/>
          <w:szCs w:val="24"/>
        </w:rPr>
        <w:t>Hospital-based or CAH-based renal dialysis centers (including satellites)</w:t>
      </w:r>
    </w:p>
    <w:p w14:paraId="109FA279" w14:textId="27E9B77C" w:rsidR="007A58B4" w:rsidRDefault="007A58B4" w:rsidP="00F13255">
      <w:pPr>
        <w:pStyle w:val="ListParagraph"/>
        <w:numPr>
          <w:ilvl w:val="0"/>
          <w:numId w:val="28"/>
        </w:numPr>
        <w:ind w:left="2160"/>
        <w:jc w:val="both"/>
        <w:rPr>
          <w:sz w:val="24"/>
          <w:szCs w:val="24"/>
        </w:rPr>
      </w:pPr>
      <w:r>
        <w:rPr>
          <w:sz w:val="24"/>
          <w:szCs w:val="24"/>
        </w:rPr>
        <w:t>Skilled nursing facilities (SNFs)</w:t>
      </w:r>
    </w:p>
    <w:p w14:paraId="795AF432" w14:textId="37CA44EF" w:rsidR="007A58B4" w:rsidRDefault="007A58B4" w:rsidP="00F13255">
      <w:pPr>
        <w:pStyle w:val="ListParagraph"/>
        <w:numPr>
          <w:ilvl w:val="0"/>
          <w:numId w:val="28"/>
        </w:numPr>
        <w:ind w:left="2160"/>
        <w:jc w:val="both"/>
        <w:rPr>
          <w:sz w:val="24"/>
          <w:szCs w:val="24"/>
        </w:rPr>
      </w:pPr>
      <w:r>
        <w:rPr>
          <w:sz w:val="24"/>
          <w:szCs w:val="24"/>
        </w:rPr>
        <w:t>Community mental health centers (CMHCs)</w:t>
      </w:r>
    </w:p>
    <w:p w14:paraId="28BB4CAD" w14:textId="3FDBF07B" w:rsidR="00F31768" w:rsidRPr="008100C9" w:rsidRDefault="00F31768" w:rsidP="00F13255">
      <w:pPr>
        <w:pStyle w:val="ListParagraph"/>
        <w:numPr>
          <w:ilvl w:val="0"/>
          <w:numId w:val="28"/>
        </w:numPr>
        <w:ind w:left="2160"/>
        <w:jc w:val="both"/>
        <w:rPr>
          <w:sz w:val="24"/>
          <w:szCs w:val="24"/>
        </w:rPr>
      </w:pPr>
      <w:r>
        <w:rPr>
          <w:sz w:val="24"/>
          <w:szCs w:val="24"/>
        </w:rPr>
        <w:t>Renal dialysis facilities</w:t>
      </w:r>
    </w:p>
    <w:p w14:paraId="093C5D9B" w14:textId="00FFA19F" w:rsidR="00F31768" w:rsidRDefault="00F31768" w:rsidP="00F13255">
      <w:pPr>
        <w:pStyle w:val="ListParagraph"/>
        <w:numPr>
          <w:ilvl w:val="0"/>
          <w:numId w:val="28"/>
        </w:numPr>
        <w:ind w:left="2160"/>
        <w:jc w:val="both"/>
        <w:rPr>
          <w:sz w:val="24"/>
          <w:szCs w:val="24"/>
        </w:rPr>
      </w:pPr>
      <w:r>
        <w:rPr>
          <w:sz w:val="24"/>
          <w:szCs w:val="24"/>
        </w:rPr>
        <w:t xml:space="preserve"> Home of ben</w:t>
      </w:r>
      <w:r w:rsidR="000465AC">
        <w:rPr>
          <w:sz w:val="24"/>
          <w:szCs w:val="24"/>
        </w:rPr>
        <w:t>e</w:t>
      </w:r>
      <w:r>
        <w:rPr>
          <w:sz w:val="24"/>
          <w:szCs w:val="24"/>
        </w:rPr>
        <w:t>ficiaries with end-stage renal disease (ESRD) receiving home dialysis</w:t>
      </w:r>
    </w:p>
    <w:p w14:paraId="09EBFB4D" w14:textId="77777777" w:rsidR="00640B11" w:rsidRDefault="00F31768" w:rsidP="00F13255">
      <w:pPr>
        <w:pStyle w:val="ListParagraph"/>
        <w:numPr>
          <w:ilvl w:val="0"/>
          <w:numId w:val="28"/>
        </w:numPr>
        <w:ind w:left="2160"/>
        <w:jc w:val="both"/>
        <w:rPr>
          <w:sz w:val="24"/>
          <w:szCs w:val="24"/>
        </w:rPr>
      </w:pPr>
      <w:r>
        <w:rPr>
          <w:sz w:val="24"/>
          <w:szCs w:val="24"/>
        </w:rPr>
        <w:t>Mobile stroke units</w:t>
      </w:r>
    </w:p>
    <w:p w14:paraId="6347B5B5" w14:textId="7B79C79E" w:rsidR="00640B11" w:rsidRPr="00640B11" w:rsidRDefault="00640B11" w:rsidP="00F13255">
      <w:pPr>
        <w:ind w:left="2160"/>
        <w:jc w:val="both"/>
        <w:rPr>
          <w:sz w:val="24"/>
          <w:szCs w:val="24"/>
        </w:rPr>
      </w:pPr>
      <w:r w:rsidRPr="00640B11">
        <w:rPr>
          <w:b/>
          <w:bCs/>
          <w:sz w:val="24"/>
          <w:szCs w:val="24"/>
        </w:rPr>
        <w:t>“Note: Medicare does not apply originating site geographic conditions to hospital-based and CAH-based renal dialysis centers, renal dialysis facilities, and beneficiary homes when practitioners furnish monthly home dialysis ESRD-related medical evaluations. Independent Renal Dialysis Facilities are not eligible originating sites.” (p. 5)</w:t>
      </w:r>
    </w:p>
    <w:p w14:paraId="3965ECC6" w14:textId="576BAFD7" w:rsidR="00D563DF" w:rsidRPr="00D563DF" w:rsidRDefault="005C007A" w:rsidP="008D30BB">
      <w:pPr>
        <w:ind w:left="2160"/>
        <w:jc w:val="both"/>
        <w:rPr>
          <w:b/>
          <w:bCs/>
          <w:sz w:val="24"/>
          <w:szCs w:val="24"/>
        </w:rPr>
      </w:pPr>
      <w:hyperlink r:id="rId17" w:history="1">
        <w:r w:rsidR="00640B11" w:rsidRPr="000A3F6D">
          <w:rPr>
            <w:rStyle w:val="Hyperlink"/>
            <w:sz w:val="24"/>
            <w:szCs w:val="24"/>
          </w:rPr>
          <w:t>https://www.cms.gov/Outreach-and-Education/Medicare-Learning-Network-MLN/MLNProducts/Downloads/TelehealthSrvcsfctsht.pdf</w:t>
        </w:r>
      </w:hyperlink>
    </w:p>
    <w:p w14:paraId="02F01CF0" w14:textId="213A5031" w:rsidR="00FD4147" w:rsidRPr="00FD4147" w:rsidRDefault="00F13255" w:rsidP="00F13255">
      <w:pPr>
        <w:spacing w:after="0"/>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082E1313" wp14:editId="11CD10AB">
                <wp:simplePos x="0" y="0"/>
                <wp:positionH relativeFrom="column">
                  <wp:posOffset>-64770</wp:posOffset>
                </wp:positionH>
                <wp:positionV relativeFrom="paragraph">
                  <wp:posOffset>162560</wp:posOffset>
                </wp:positionV>
                <wp:extent cx="6060934" cy="2221230"/>
                <wp:effectExtent l="0" t="0" r="16510" b="26670"/>
                <wp:wrapNone/>
                <wp:docPr id="7" name="Rectangle 7"/>
                <wp:cNvGraphicFramePr/>
                <a:graphic xmlns:a="http://schemas.openxmlformats.org/drawingml/2006/main">
                  <a:graphicData uri="http://schemas.microsoft.com/office/word/2010/wordprocessingShape">
                    <wps:wsp>
                      <wps:cNvSpPr/>
                      <wps:spPr>
                        <a:xfrm>
                          <a:off x="0" y="0"/>
                          <a:ext cx="6060934" cy="222123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ECB0F" id="Rectangle 7" o:spid="_x0000_s1026" style="position:absolute;margin-left:-5.1pt;margin-top:12.8pt;width:477.25pt;height:174.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" filled="f" strokecolor="#7f7f7f"/>
            </w:pict>
          </mc:Fallback>
        </mc:AlternateContent>
      </w:r>
    </w:p>
    <w:p w14:paraId="038BDE47" w14:textId="40088099" w:rsidR="00E17DCA" w:rsidRDefault="00920282" w:rsidP="008D30BB">
      <w:pPr>
        <w:shd w:val="clear" w:color="auto" w:fill="D9E2F3" w:themeFill="accent1" w:themeFillTint="33"/>
        <w:jc w:val="both"/>
        <w:rPr>
          <w:rFonts w:cstheme="minorHAnsi"/>
          <w:b/>
          <w:bCs/>
          <w:i/>
          <w:iCs/>
          <w:sz w:val="24"/>
          <w:szCs w:val="24"/>
        </w:rPr>
      </w:pPr>
      <w:r>
        <w:rPr>
          <w:rFonts w:cstheme="minorHAnsi"/>
          <w:b/>
          <w:bCs/>
          <w:i/>
          <w:iCs/>
          <w:sz w:val="24"/>
          <w:szCs w:val="24"/>
        </w:rPr>
        <w:t>Tips</w:t>
      </w:r>
      <w:r w:rsidR="00F13255">
        <w:rPr>
          <w:rFonts w:cstheme="minorHAnsi"/>
          <w:b/>
          <w:bCs/>
          <w:i/>
          <w:iCs/>
          <w:sz w:val="24"/>
          <w:szCs w:val="24"/>
        </w:rPr>
        <w:t>:</w:t>
      </w:r>
    </w:p>
    <w:p w14:paraId="6D14D6FD" w14:textId="37831742" w:rsidR="00BF3C20" w:rsidRDefault="00BF3C20" w:rsidP="00F13255">
      <w:pPr>
        <w:pStyle w:val="ListParagraph"/>
        <w:numPr>
          <w:ilvl w:val="0"/>
          <w:numId w:val="29"/>
        </w:numPr>
        <w:shd w:val="clear" w:color="auto" w:fill="D9E2F3" w:themeFill="accent1" w:themeFillTint="33"/>
        <w:jc w:val="both"/>
      </w:pPr>
      <w:r w:rsidRPr="00F13255">
        <w:rPr>
          <w:rFonts w:cstheme="minorHAnsi"/>
          <w:i/>
          <w:iCs/>
          <w:sz w:val="24"/>
          <w:szCs w:val="24"/>
        </w:rPr>
        <w:t>Review the list of services you provide that are on the covered telehealth list and establish the workflow that mirrors how these services are provided when the patient is seen in person as much as possible.</w:t>
      </w:r>
      <w:r>
        <w:tab/>
      </w:r>
    </w:p>
    <w:p w14:paraId="7DA1F52C" w14:textId="3B200A0E" w:rsidR="0029071D" w:rsidRPr="00F13255" w:rsidRDefault="0029071D" w:rsidP="00F13255">
      <w:pPr>
        <w:pStyle w:val="ListParagraph"/>
        <w:numPr>
          <w:ilvl w:val="0"/>
          <w:numId w:val="29"/>
        </w:numPr>
        <w:shd w:val="clear" w:color="auto" w:fill="D9E2F3" w:themeFill="accent1" w:themeFillTint="33"/>
        <w:jc w:val="both"/>
        <w:rPr>
          <w:sz w:val="24"/>
          <w:szCs w:val="24"/>
        </w:rPr>
      </w:pPr>
      <w:r w:rsidRPr="00F13255">
        <w:rPr>
          <w:i/>
          <w:iCs/>
          <w:sz w:val="24"/>
          <w:szCs w:val="24"/>
        </w:rPr>
        <w:t xml:space="preserve">The CAH will likely be utilizing telehealth services as an originating site for consultation. Therefore, establish the workflow that mirrors </w:t>
      </w:r>
      <w:r w:rsidRPr="00F13255">
        <w:rPr>
          <w:rFonts w:cstheme="minorHAnsi"/>
          <w:i/>
          <w:iCs/>
          <w:sz w:val="24"/>
          <w:szCs w:val="24"/>
        </w:rPr>
        <w:t>how these services are provided when the patient is seen in person as much as possible.</w:t>
      </w:r>
      <w:r w:rsidRPr="00F13255">
        <w:rPr>
          <w:sz w:val="24"/>
          <w:szCs w:val="24"/>
        </w:rPr>
        <w:tab/>
      </w:r>
    </w:p>
    <w:p w14:paraId="2E973A3B" w14:textId="572E9513" w:rsidR="0029071D" w:rsidRPr="00F13255" w:rsidRDefault="0029071D" w:rsidP="00F13255">
      <w:pPr>
        <w:pStyle w:val="ListParagraph"/>
        <w:numPr>
          <w:ilvl w:val="0"/>
          <w:numId w:val="29"/>
        </w:numPr>
        <w:shd w:val="clear" w:color="auto" w:fill="D9E2F3" w:themeFill="accent1" w:themeFillTint="33"/>
        <w:jc w:val="both"/>
        <w:rPr>
          <w:sz w:val="24"/>
          <w:szCs w:val="24"/>
        </w:rPr>
      </w:pPr>
      <w:r w:rsidRPr="00F13255">
        <w:rPr>
          <w:i/>
          <w:iCs/>
          <w:sz w:val="24"/>
          <w:szCs w:val="24"/>
        </w:rPr>
        <w:t>As a distant site,</w:t>
      </w:r>
      <w:r w:rsidRPr="00F13255">
        <w:rPr>
          <w:sz w:val="24"/>
          <w:szCs w:val="24"/>
        </w:rPr>
        <w:t xml:space="preserve"> </w:t>
      </w:r>
      <w:r w:rsidRPr="00F13255">
        <w:rPr>
          <w:rFonts w:cstheme="minorHAnsi"/>
          <w:i/>
          <w:iCs/>
          <w:sz w:val="24"/>
          <w:szCs w:val="24"/>
        </w:rPr>
        <w:t xml:space="preserve">review the list of services you provide that are on the covered telehealth list and establish the workflow that mirrors </w:t>
      </w:r>
      <w:bookmarkStart w:id="5" w:name="_Hlk64302954"/>
      <w:r w:rsidRPr="00F13255">
        <w:rPr>
          <w:rFonts w:cstheme="minorHAnsi"/>
          <w:i/>
          <w:iCs/>
          <w:sz w:val="24"/>
          <w:szCs w:val="24"/>
        </w:rPr>
        <w:t>how these services are provided when the patient is seen in person as much as possible.</w:t>
      </w:r>
      <w:r w:rsidRPr="00F13255">
        <w:rPr>
          <w:sz w:val="24"/>
          <w:szCs w:val="24"/>
        </w:rPr>
        <w:tab/>
      </w:r>
      <w:bookmarkEnd w:id="5"/>
    </w:p>
    <w:sectPr w:rsidR="0029071D" w:rsidRPr="00F13255" w:rsidSect="00BA33B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C9EF" w14:textId="77777777" w:rsidR="005C007A" w:rsidRDefault="005C007A" w:rsidP="00606B42">
      <w:pPr>
        <w:spacing w:after="0" w:line="240" w:lineRule="auto"/>
      </w:pPr>
      <w:r>
        <w:separator/>
      </w:r>
    </w:p>
  </w:endnote>
  <w:endnote w:type="continuationSeparator" w:id="0">
    <w:p w14:paraId="3B6506D6" w14:textId="77777777" w:rsidR="005C007A" w:rsidRDefault="005C007A"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1F2" w14:textId="77777777" w:rsidR="00BA33B4" w:rsidRPr="00DE4F81" w:rsidRDefault="00BA33B4" w:rsidP="00BA33B4">
    <w:pPr>
      <w:pStyle w:val="Header"/>
      <w:rPr>
        <w:sz w:val="18"/>
        <w:szCs w:val="18"/>
      </w:rPr>
    </w:pPr>
    <w:bookmarkStart w:id="6" w:name="_Hlk70408752"/>
    <w:bookmarkStart w:id="7" w:name="_Hlk70417957"/>
    <w:bookmarkStart w:id="8" w:name="_Hlk70417958"/>
    <w:bookmarkStart w:id="9" w:name="_Hlk70420387"/>
    <w:bookmarkStart w:id="10" w:name="_Hlk70420388"/>
    <w:bookmarkStart w:id="11" w:name="_Hlk70420955"/>
    <w:bookmarkStart w:id="12" w:name="_Hlk70420956"/>
    <w:r w:rsidRPr="00DE4F81">
      <w:rPr>
        <w:noProof/>
        <w:sz w:val="18"/>
        <w:szCs w:val="18"/>
      </w:rPr>
      <mc:AlternateContent>
        <mc:Choice Requires="wps">
          <w:drawing>
            <wp:anchor distT="0" distB="0" distL="114300" distR="114300" simplePos="0" relativeHeight="251661312" behindDoc="0" locked="0" layoutInCell="1" allowOverlap="1" wp14:anchorId="18DDBC9C" wp14:editId="0D996D57">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7108864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3546C057" w14:textId="77777777" w:rsidR="00BA33B4" w:rsidRPr="00DE4F81" w:rsidRDefault="00BA33B4" w:rsidP="00BA33B4">
    <w:pPr>
      <w:pStyle w:val="NormalWeb"/>
      <w:spacing w:before="0" w:beforeAutospacing="0" w:after="0" w:afterAutospacing="0"/>
      <w:rPr>
        <w:color w:val="222222"/>
        <w:sz w:val="14"/>
        <w:szCs w:val="14"/>
        <w:shd w:val="clear" w:color="auto" w:fill="FFFFFF"/>
      </w:rPr>
    </w:pPr>
  </w:p>
  <w:p w14:paraId="2FDB2334" w14:textId="268F28AB" w:rsidR="002B4400" w:rsidRPr="00BA33B4" w:rsidRDefault="00BA33B4" w:rsidP="00BA33B4">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78D1" w14:textId="77777777" w:rsidR="005C007A" w:rsidRDefault="005C007A" w:rsidP="00606B42">
      <w:pPr>
        <w:spacing w:after="0" w:line="240" w:lineRule="auto"/>
      </w:pPr>
      <w:r>
        <w:separator/>
      </w:r>
    </w:p>
  </w:footnote>
  <w:footnote w:type="continuationSeparator" w:id="0">
    <w:p w14:paraId="51356BA8" w14:textId="77777777" w:rsidR="005C007A" w:rsidRDefault="005C007A"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384F01D4" w:rsidR="00606B42" w:rsidRDefault="00BA33B4">
        <w:pPr>
          <w:pStyle w:val="Header"/>
        </w:pPr>
        <w:r>
          <w:rPr>
            <w:noProof/>
          </w:rPr>
          <w:drawing>
            <wp:anchor distT="0" distB="0" distL="114300" distR="114300" simplePos="0" relativeHeight="251659264" behindDoc="1" locked="0" layoutInCell="1" allowOverlap="1" wp14:anchorId="08F6F2D1" wp14:editId="709EDF0D">
              <wp:simplePos x="0" y="0"/>
              <wp:positionH relativeFrom="column">
                <wp:posOffset>4823460</wp:posOffset>
              </wp:positionH>
              <wp:positionV relativeFrom="paragraph">
                <wp:posOffset>-88900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05C38196" w:rsidR="00D92F63" w:rsidRPr="00BA33B4" w:rsidRDefault="00214982" w:rsidP="00606B42">
    <w:pPr>
      <w:pStyle w:val="Header"/>
      <w:jc w:val="center"/>
      <w:rPr>
        <w:b/>
        <w:bCs/>
        <w:color w:val="FF0000"/>
        <w:sz w:val="28"/>
        <w:szCs w:val="28"/>
      </w:rPr>
    </w:pPr>
    <w:r w:rsidRPr="00BA33B4">
      <w:rPr>
        <w:b/>
        <w:bCs/>
        <w:color w:val="FF0000"/>
        <w:sz w:val="28"/>
        <w:szCs w:val="28"/>
      </w:rPr>
      <w:t xml:space="preserve">Critical Access </w:t>
    </w:r>
    <w:r w:rsidR="00D81FED" w:rsidRPr="00BA33B4">
      <w:rPr>
        <w:b/>
        <w:bCs/>
        <w:color w:val="FF0000"/>
        <w:sz w:val="28"/>
        <w:szCs w:val="28"/>
      </w:rPr>
      <w:t>Hospital</w:t>
    </w:r>
  </w:p>
  <w:p w14:paraId="4A705346" w14:textId="2923818C" w:rsidR="00606B42" w:rsidRPr="001B7186" w:rsidRDefault="00CD3A65" w:rsidP="00606B42">
    <w:pPr>
      <w:pStyle w:val="Header"/>
      <w:jc w:val="center"/>
      <w:rPr>
        <w:b/>
        <w:bCs/>
        <w:sz w:val="28"/>
        <w:szCs w:val="28"/>
      </w:rPr>
    </w:pPr>
    <w:r>
      <w:rPr>
        <w:b/>
        <w:bCs/>
        <w:sz w:val="28"/>
        <w:szCs w:val="28"/>
      </w:rPr>
      <w:t>Reimbursement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AE514CD"/>
    <w:multiLevelType w:val="hybridMultilevel"/>
    <w:tmpl w:val="D5EC3D14"/>
    <w:lvl w:ilvl="0" w:tplc="65389D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2A741A"/>
    <w:multiLevelType w:val="hybridMultilevel"/>
    <w:tmpl w:val="CA162CAC"/>
    <w:lvl w:ilvl="0" w:tplc="19C2A054">
      <w:start w:val="1"/>
      <w:numFmt w:val="upp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1D557571"/>
    <w:multiLevelType w:val="hybridMultilevel"/>
    <w:tmpl w:val="FD6CBD78"/>
    <w:lvl w:ilvl="0" w:tplc="DE8665C0">
      <w:start w:val="1"/>
      <w:numFmt w:val="decimal"/>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F31315A"/>
    <w:multiLevelType w:val="hybridMultilevel"/>
    <w:tmpl w:val="78C49B86"/>
    <w:lvl w:ilvl="0" w:tplc="3E523682">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11947B9"/>
    <w:multiLevelType w:val="hybridMultilevel"/>
    <w:tmpl w:val="A0BC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BA6512"/>
    <w:multiLevelType w:val="hybridMultilevel"/>
    <w:tmpl w:val="4AFE3F36"/>
    <w:lvl w:ilvl="0" w:tplc="7026E2D2">
      <w:start w:val="1"/>
      <w:numFmt w:val="decimal"/>
      <w:lvlText w:val="%1."/>
      <w:lvlJc w:val="left"/>
      <w:pPr>
        <w:ind w:left="3060" w:hanging="360"/>
      </w:pPr>
      <w:rPr>
        <w:b w:val="0"/>
        <w:bCs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3265097A"/>
    <w:multiLevelType w:val="hybridMultilevel"/>
    <w:tmpl w:val="1F461C6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15:restartNumberingAfterBreak="0">
    <w:nsid w:val="42FF7F67"/>
    <w:multiLevelType w:val="hybridMultilevel"/>
    <w:tmpl w:val="8E608320"/>
    <w:lvl w:ilvl="0" w:tplc="F1B2EF8E">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7357514"/>
    <w:multiLevelType w:val="hybridMultilevel"/>
    <w:tmpl w:val="3DE4A7DA"/>
    <w:lvl w:ilvl="0" w:tplc="133640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6D32D5B"/>
    <w:multiLevelType w:val="hybridMultilevel"/>
    <w:tmpl w:val="6D96A118"/>
    <w:lvl w:ilvl="0" w:tplc="9D5AEC36">
      <w:start w:val="1"/>
      <w:numFmt w:val="decimal"/>
      <w:lvlText w:val="%1."/>
      <w:lvlJc w:val="left"/>
      <w:pPr>
        <w:ind w:left="2970" w:hanging="360"/>
      </w:pPr>
      <w:rPr>
        <w:b w:val="0"/>
        <w:bCs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5AF40FF"/>
    <w:multiLevelType w:val="hybridMultilevel"/>
    <w:tmpl w:val="94B08C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C414DC8"/>
    <w:multiLevelType w:val="hybridMultilevel"/>
    <w:tmpl w:val="9BE6404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A903357"/>
    <w:multiLevelType w:val="hybridMultilevel"/>
    <w:tmpl w:val="A020922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4"/>
  </w:num>
  <w:num w:numId="3">
    <w:abstractNumId w:val="6"/>
  </w:num>
  <w:num w:numId="4">
    <w:abstractNumId w:val="15"/>
  </w:num>
  <w:num w:numId="5">
    <w:abstractNumId w:val="18"/>
  </w:num>
  <w:num w:numId="6">
    <w:abstractNumId w:val="12"/>
  </w:num>
  <w:num w:numId="7">
    <w:abstractNumId w:val="7"/>
  </w:num>
  <w:num w:numId="8">
    <w:abstractNumId w:val="19"/>
  </w:num>
  <w:num w:numId="9">
    <w:abstractNumId w:val="27"/>
  </w:num>
  <w:num w:numId="10">
    <w:abstractNumId w:val="5"/>
  </w:num>
  <w:num w:numId="11">
    <w:abstractNumId w:val="0"/>
  </w:num>
  <w:num w:numId="12">
    <w:abstractNumId w:val="17"/>
  </w:num>
  <w:num w:numId="13">
    <w:abstractNumId w:val="26"/>
  </w:num>
  <w:num w:numId="14">
    <w:abstractNumId w:val="21"/>
  </w:num>
  <w:num w:numId="15">
    <w:abstractNumId w:val="1"/>
  </w:num>
  <w:num w:numId="16">
    <w:abstractNumId w:val="25"/>
  </w:num>
  <w:num w:numId="17">
    <w:abstractNumId w:val="13"/>
  </w:num>
  <w:num w:numId="18">
    <w:abstractNumId w:val="3"/>
  </w:num>
  <w:num w:numId="19">
    <w:abstractNumId w:val="4"/>
  </w:num>
  <w:num w:numId="20">
    <w:abstractNumId w:val="10"/>
  </w:num>
  <w:num w:numId="21">
    <w:abstractNumId w:val="20"/>
  </w:num>
  <w:num w:numId="22">
    <w:abstractNumId w:val="24"/>
  </w:num>
  <w:num w:numId="23">
    <w:abstractNumId w:val="22"/>
  </w:num>
  <w:num w:numId="24">
    <w:abstractNumId w:val="28"/>
  </w:num>
  <w:num w:numId="25">
    <w:abstractNumId w:val="16"/>
  </w:num>
  <w:num w:numId="26">
    <w:abstractNumId w:val="11"/>
  </w:num>
  <w:num w:numId="27">
    <w:abstractNumId w:val="2"/>
  </w:num>
  <w:num w:numId="28">
    <w:abstractNumId w:val="8"/>
  </w:num>
  <w:num w:numId="2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465AC"/>
    <w:rsid w:val="000860E9"/>
    <w:rsid w:val="0008764B"/>
    <w:rsid w:val="000974A1"/>
    <w:rsid w:val="000B7D27"/>
    <w:rsid w:val="000E0729"/>
    <w:rsid w:val="000E3D89"/>
    <w:rsid w:val="0010452D"/>
    <w:rsid w:val="00111CB6"/>
    <w:rsid w:val="00112D4C"/>
    <w:rsid w:val="0011697A"/>
    <w:rsid w:val="00120F2B"/>
    <w:rsid w:val="00144A38"/>
    <w:rsid w:val="0015183B"/>
    <w:rsid w:val="0015654F"/>
    <w:rsid w:val="001863A3"/>
    <w:rsid w:val="00193DAF"/>
    <w:rsid w:val="00195002"/>
    <w:rsid w:val="001B7186"/>
    <w:rsid w:val="001C25A4"/>
    <w:rsid w:val="001C397E"/>
    <w:rsid w:val="001D6F95"/>
    <w:rsid w:val="001F5ECD"/>
    <w:rsid w:val="002101EE"/>
    <w:rsid w:val="00213231"/>
    <w:rsid w:val="00214982"/>
    <w:rsid w:val="002269B2"/>
    <w:rsid w:val="00227648"/>
    <w:rsid w:val="002546A7"/>
    <w:rsid w:val="00256350"/>
    <w:rsid w:val="002570A0"/>
    <w:rsid w:val="00264187"/>
    <w:rsid w:val="0026475F"/>
    <w:rsid w:val="002773F5"/>
    <w:rsid w:val="00285865"/>
    <w:rsid w:val="0029071D"/>
    <w:rsid w:val="002B4400"/>
    <w:rsid w:val="002B6ED8"/>
    <w:rsid w:val="00301329"/>
    <w:rsid w:val="00352F69"/>
    <w:rsid w:val="00362C1E"/>
    <w:rsid w:val="0036346C"/>
    <w:rsid w:val="00377DD2"/>
    <w:rsid w:val="003914EE"/>
    <w:rsid w:val="003B1B86"/>
    <w:rsid w:val="003B2FEC"/>
    <w:rsid w:val="003D1292"/>
    <w:rsid w:val="003D67EF"/>
    <w:rsid w:val="003F1471"/>
    <w:rsid w:val="003F430E"/>
    <w:rsid w:val="00400DF3"/>
    <w:rsid w:val="004262EF"/>
    <w:rsid w:val="00426BF1"/>
    <w:rsid w:val="004579C2"/>
    <w:rsid w:val="00466F00"/>
    <w:rsid w:val="004766F6"/>
    <w:rsid w:val="004812F0"/>
    <w:rsid w:val="005032F3"/>
    <w:rsid w:val="0051462A"/>
    <w:rsid w:val="00521A72"/>
    <w:rsid w:val="0052310F"/>
    <w:rsid w:val="00525F45"/>
    <w:rsid w:val="00530162"/>
    <w:rsid w:val="0054707A"/>
    <w:rsid w:val="0055518E"/>
    <w:rsid w:val="005573A1"/>
    <w:rsid w:val="00571181"/>
    <w:rsid w:val="005737BC"/>
    <w:rsid w:val="005765E4"/>
    <w:rsid w:val="00590B48"/>
    <w:rsid w:val="005A6C2F"/>
    <w:rsid w:val="005A78FE"/>
    <w:rsid w:val="005C007A"/>
    <w:rsid w:val="005C0B34"/>
    <w:rsid w:val="005C2DD3"/>
    <w:rsid w:val="005E32E7"/>
    <w:rsid w:val="00605DA6"/>
    <w:rsid w:val="00606B42"/>
    <w:rsid w:val="00636956"/>
    <w:rsid w:val="00637F05"/>
    <w:rsid w:val="00640B11"/>
    <w:rsid w:val="00656814"/>
    <w:rsid w:val="006639A1"/>
    <w:rsid w:val="006715EE"/>
    <w:rsid w:val="00674EC7"/>
    <w:rsid w:val="006A70C5"/>
    <w:rsid w:val="006C2D8D"/>
    <w:rsid w:val="006E15F5"/>
    <w:rsid w:val="00741AE2"/>
    <w:rsid w:val="0075135F"/>
    <w:rsid w:val="007677BD"/>
    <w:rsid w:val="00771CDC"/>
    <w:rsid w:val="0077571B"/>
    <w:rsid w:val="00781F8F"/>
    <w:rsid w:val="007905E9"/>
    <w:rsid w:val="007A58B4"/>
    <w:rsid w:val="007C36E4"/>
    <w:rsid w:val="007E27A7"/>
    <w:rsid w:val="007E5129"/>
    <w:rsid w:val="00801AA0"/>
    <w:rsid w:val="008069C0"/>
    <w:rsid w:val="008100C9"/>
    <w:rsid w:val="008246F5"/>
    <w:rsid w:val="00850603"/>
    <w:rsid w:val="008B1922"/>
    <w:rsid w:val="008D30BB"/>
    <w:rsid w:val="008F1E58"/>
    <w:rsid w:val="008F3B2E"/>
    <w:rsid w:val="00903BFE"/>
    <w:rsid w:val="00920282"/>
    <w:rsid w:val="00926EE2"/>
    <w:rsid w:val="00936C6C"/>
    <w:rsid w:val="00953B05"/>
    <w:rsid w:val="009819E6"/>
    <w:rsid w:val="0098214F"/>
    <w:rsid w:val="009A65CA"/>
    <w:rsid w:val="009B17DC"/>
    <w:rsid w:val="009F1FB7"/>
    <w:rsid w:val="00A02365"/>
    <w:rsid w:val="00A064DE"/>
    <w:rsid w:val="00A142AA"/>
    <w:rsid w:val="00A3113F"/>
    <w:rsid w:val="00A42172"/>
    <w:rsid w:val="00A64B99"/>
    <w:rsid w:val="00A663EF"/>
    <w:rsid w:val="00A72324"/>
    <w:rsid w:val="00A81B86"/>
    <w:rsid w:val="00A843DB"/>
    <w:rsid w:val="00AA0421"/>
    <w:rsid w:val="00AA7BAE"/>
    <w:rsid w:val="00AB0963"/>
    <w:rsid w:val="00AB3FE9"/>
    <w:rsid w:val="00AD179A"/>
    <w:rsid w:val="00AE0BDB"/>
    <w:rsid w:val="00AE2EF8"/>
    <w:rsid w:val="00AE5A3E"/>
    <w:rsid w:val="00AE61A9"/>
    <w:rsid w:val="00B3775B"/>
    <w:rsid w:val="00B43364"/>
    <w:rsid w:val="00B45773"/>
    <w:rsid w:val="00B60685"/>
    <w:rsid w:val="00B721C5"/>
    <w:rsid w:val="00B74A59"/>
    <w:rsid w:val="00B86645"/>
    <w:rsid w:val="00B91D01"/>
    <w:rsid w:val="00BA33B4"/>
    <w:rsid w:val="00BA749B"/>
    <w:rsid w:val="00BC1C8F"/>
    <w:rsid w:val="00BC2402"/>
    <w:rsid w:val="00BF3C20"/>
    <w:rsid w:val="00C16A55"/>
    <w:rsid w:val="00C178BA"/>
    <w:rsid w:val="00C22751"/>
    <w:rsid w:val="00C408C3"/>
    <w:rsid w:val="00C6673E"/>
    <w:rsid w:val="00C91663"/>
    <w:rsid w:val="00C9239A"/>
    <w:rsid w:val="00C95B45"/>
    <w:rsid w:val="00C97C7D"/>
    <w:rsid w:val="00CC0CCD"/>
    <w:rsid w:val="00CD3A65"/>
    <w:rsid w:val="00CF4D7E"/>
    <w:rsid w:val="00D00D76"/>
    <w:rsid w:val="00D06B1C"/>
    <w:rsid w:val="00D23CF3"/>
    <w:rsid w:val="00D23D1D"/>
    <w:rsid w:val="00D257C3"/>
    <w:rsid w:val="00D34097"/>
    <w:rsid w:val="00D3464D"/>
    <w:rsid w:val="00D43894"/>
    <w:rsid w:val="00D563DF"/>
    <w:rsid w:val="00D74180"/>
    <w:rsid w:val="00D81FED"/>
    <w:rsid w:val="00D828FC"/>
    <w:rsid w:val="00D92F63"/>
    <w:rsid w:val="00DA2460"/>
    <w:rsid w:val="00DB026E"/>
    <w:rsid w:val="00DB13B9"/>
    <w:rsid w:val="00DC0AB4"/>
    <w:rsid w:val="00DC0B49"/>
    <w:rsid w:val="00DC4B08"/>
    <w:rsid w:val="00DC6142"/>
    <w:rsid w:val="00DD29FB"/>
    <w:rsid w:val="00DF1527"/>
    <w:rsid w:val="00DF3E74"/>
    <w:rsid w:val="00DF52D1"/>
    <w:rsid w:val="00DF6310"/>
    <w:rsid w:val="00E00010"/>
    <w:rsid w:val="00E17DCA"/>
    <w:rsid w:val="00E21B8C"/>
    <w:rsid w:val="00E223E2"/>
    <w:rsid w:val="00E4317B"/>
    <w:rsid w:val="00E54207"/>
    <w:rsid w:val="00E816BA"/>
    <w:rsid w:val="00E81958"/>
    <w:rsid w:val="00EA4A81"/>
    <w:rsid w:val="00EC1C89"/>
    <w:rsid w:val="00ED590B"/>
    <w:rsid w:val="00EF0A23"/>
    <w:rsid w:val="00F03BB3"/>
    <w:rsid w:val="00F13255"/>
    <w:rsid w:val="00F27FA8"/>
    <w:rsid w:val="00F308E4"/>
    <w:rsid w:val="00F31768"/>
    <w:rsid w:val="00F37660"/>
    <w:rsid w:val="00F40B17"/>
    <w:rsid w:val="00F4203C"/>
    <w:rsid w:val="00F4244F"/>
    <w:rsid w:val="00F53F06"/>
    <w:rsid w:val="00F70E23"/>
    <w:rsid w:val="00F74E55"/>
    <w:rsid w:val="00F8068D"/>
    <w:rsid w:val="00F93F08"/>
    <w:rsid w:val="00FB0B8D"/>
    <w:rsid w:val="00FB231D"/>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B11"/>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A311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hyperlink" Target="https://www.cms.gov/Outreach-and-Education/Medicare-Learning-Network-MLN/MLNProducts/Downloads/TelehealthSrvcsfctsht.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he.gov/emergency/news/healthactions/phe/Pages/covid19-07Jan2021.aspx" TargetMode="External"/><Relationship Id="rId12" Type="http://schemas.openxmlformats.org/officeDocument/2006/relationships/hyperlink" Target="https://www.cms.gov/Medicare/Medicare-General-Information/Telehealth/Telehealth-Codes" TargetMode="External"/><Relationship Id="rId17" Type="http://schemas.openxmlformats.org/officeDocument/2006/relationships/hyperlink" Target="https://www.cms.gov/Outreach-and-Education/Medicare-Learning-Network-MLN/MLNProducts/Downloads/TelehealthSrvcsfctsht.pdf" TargetMode="External"/><Relationship Id="rId2" Type="http://schemas.openxmlformats.org/officeDocument/2006/relationships/styles" Target="styles.xml"/><Relationship Id="rId16" Type="http://schemas.openxmlformats.org/officeDocument/2006/relationships/hyperlink" Target="https://www.cms.gov/files/document/omh-rural-crosswalk.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files/document/summary-covid-19-emergency-declaration-waivers.pdf" TargetMode="External"/><Relationship Id="rId5" Type="http://schemas.openxmlformats.org/officeDocument/2006/relationships/footnotes" Target="footnotes.xml"/><Relationship Id="rId15" Type="http://schemas.openxmlformats.org/officeDocument/2006/relationships/hyperlink" Target="https://www.cms.gov/files/document/omh-rural-crosswalk.pdf" TargetMode="External"/><Relationship Id="rId10" Type="http://schemas.openxmlformats.org/officeDocument/2006/relationships/hyperlink" Target="https://www.cms.gov/files/document/omh-rural-crosswalk.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hyperlink" Target="https://www.cms.gov/files/document/03092020-covid-19-faqs-5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2021-04-27T18:47:00Z</cp:lastPrinted>
  <dcterms:created xsi:type="dcterms:W3CDTF">2021-04-27T18:47:00Z</dcterms:created>
  <dcterms:modified xsi:type="dcterms:W3CDTF">2021-04-27T18:48:00Z</dcterms:modified>
</cp:coreProperties>
</file>